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方正小标宋简体" w:cs="Nimbus Roman No9 L"/>
          <w:b w:val="0"/>
          <w:bCs w:val="0"/>
          <w:sz w:val="44"/>
          <w:szCs w:val="44"/>
          <w:lang w:val="en-US" w:eastAsia="zh-CN"/>
        </w:rPr>
      </w:pPr>
      <w:r>
        <w:rPr>
          <w:rFonts w:hint="default" w:ascii="Nimbus Roman No9 L" w:hAnsi="Nimbus Roman No9 L" w:eastAsia="方正小标宋简体" w:cs="Nimbus Roman No9 L"/>
          <w:b w:val="0"/>
          <w:bCs w:val="0"/>
          <w:sz w:val="44"/>
          <w:szCs w:val="44"/>
          <w:lang w:val="en-US" w:eastAsia="zh-CN"/>
        </w:rPr>
        <w:t>2023年平远县营商环境迎评工作职责分工表</w:t>
      </w:r>
    </w:p>
    <w:tbl>
      <w:tblPr>
        <w:tblStyle w:val="6"/>
        <w:tblW w:w="1391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15"/>
        <w:gridCol w:w="745"/>
        <w:gridCol w:w="1320"/>
        <w:gridCol w:w="1320"/>
        <w:gridCol w:w="4995"/>
        <w:gridCol w:w="1586"/>
        <w:gridCol w:w="33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blHeader/>
        </w:trPr>
        <w:tc>
          <w:tcPr>
            <w:tcW w:w="6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序号</w:t>
            </w:r>
          </w:p>
        </w:tc>
        <w:tc>
          <w:tcPr>
            <w:tcW w:w="7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一级指标</w:t>
            </w:r>
          </w:p>
        </w:tc>
        <w:tc>
          <w:tcPr>
            <w:tcW w:w="26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二级指标</w:t>
            </w: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具体评价内容</w:t>
            </w:r>
          </w:p>
        </w:tc>
        <w:tc>
          <w:tcPr>
            <w:tcW w:w="158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牵头单位</w:t>
            </w: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市场准入</w:t>
            </w: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市场准入制度规范化建设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市场准入负面清单制度落实情况如何？（以共享单车为案例评估）</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县市场监管局县发展改革局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违背市场准入负面清单案例排查和归集工作落实情况？</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是否存在被国家、省通报违背市场准入负面清单典型案例或负面舆情信息？</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是否设有市场主体对市场准入隐性壁垒的意见反馈渠道和处理回应机制，并实质性运作？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企业开办公共服务质量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“一网通办”平台实现哪些部门数据共享互通？（省平台和地方平台）*</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jc w:val="center"/>
              <w:rPr>
                <w:rFonts w:hint="eastAsia"/>
                <w:lang w:val="en-US" w:eastAsia="zh-CN"/>
              </w:rPr>
            </w:pPr>
            <w:r>
              <w:rPr>
                <w:rFonts w:hint="eastAsia" w:ascii="Nimbus Roman No9 L" w:hAnsi="Nimbus Roman No9 L" w:eastAsia="方正仿宋简体" w:cs="Nimbus Roman No9 L"/>
                <w:sz w:val="21"/>
                <w:szCs w:val="21"/>
                <w:lang w:val="en-US" w:eastAsia="zh-CN"/>
              </w:rPr>
              <w:t>县市场监管局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县市场监管局、县公安局、县税务局、县人力资源和社会保障局</w:t>
            </w: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、市住房公积金管理中心平远管理部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是否推行登记注册智能导办？</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是否推行登记注册智能审批？办件量是多少？</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是否开展进一步便利企业开立银行账户措施，并实质性运作？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是否推行企业住所（经营场所）标准化登记，并实质性运作？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是否推行便利企业分支机构、连锁门店信息变更措施，并实质性运作？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是否推行“一照多址”“一址多照”改革，并实质性运作？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12</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市场准入</w:t>
            </w: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企业开办公共服务质量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是否实现电子印章和电子营业执照同步发放？</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（加分项）本地区创新经验做法，如“一照通行”“证照联办”等。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0"/>
                <w:sz w:val="21"/>
                <w:szCs w:val="21"/>
                <w:lang w:val="en-US" w:eastAsia="zh-CN"/>
              </w:rPr>
              <w:t>县市场监管局、县发展改革局、县公安局、县税务局、县人力资源和社会保障局、市住房公积金管理中心平远管理部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企业开办便利度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企业是否可在“一窗通取”窗口同时领取营业执照、印章、税务发票？</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default" w:ascii="Nimbus Roman No9 L" w:hAnsi="Nimbus Roman No9 L" w:eastAsia="方正仿宋简体" w:cs="Nimbus Roman No9 L"/>
                <w:spacing w:val="-6"/>
                <w:sz w:val="21"/>
                <w:szCs w:val="21"/>
                <w:lang w:val="en-US" w:eastAsia="zh-CN"/>
              </w:rPr>
              <w:t>县市场监管局、</w:t>
            </w:r>
            <w:r>
              <w:rPr>
                <w:rFonts w:hint="eastAsia" w:ascii="Nimbus Roman No9 L" w:hAnsi="Nimbus Roman No9 L" w:eastAsia="方正仿宋简体" w:cs="Nimbus Roman No9 L"/>
                <w:spacing w:val="-6"/>
                <w:sz w:val="21"/>
                <w:szCs w:val="21"/>
                <w:lang w:val="en-US" w:eastAsia="zh-CN"/>
              </w:rPr>
              <w:t>县</w:t>
            </w:r>
            <w:r>
              <w:rPr>
                <w:rFonts w:hint="default" w:ascii="Nimbus Roman No9 L" w:hAnsi="Nimbus Roman No9 L" w:eastAsia="方正仿宋简体" w:cs="Nimbus Roman No9 L"/>
                <w:spacing w:val="-6"/>
                <w:sz w:val="21"/>
                <w:szCs w:val="21"/>
                <w:lang w:val="en-US" w:eastAsia="zh-CN"/>
              </w:rPr>
              <w:t>公安局、</w:t>
            </w:r>
            <w:r>
              <w:rPr>
                <w:rFonts w:hint="eastAsia" w:ascii="Nimbus Roman No9 L" w:hAnsi="Nimbus Roman No9 L" w:eastAsia="方正仿宋简体" w:cs="Nimbus Roman No9 L"/>
                <w:spacing w:val="-6"/>
                <w:sz w:val="21"/>
                <w:szCs w:val="21"/>
                <w:lang w:val="en-US" w:eastAsia="zh-CN"/>
              </w:rPr>
              <w:t>县</w:t>
            </w:r>
            <w:r>
              <w:rPr>
                <w:rFonts w:hint="default" w:ascii="Nimbus Roman No9 L" w:hAnsi="Nimbus Roman No9 L" w:eastAsia="方正仿宋简体" w:cs="Nimbus Roman No9 L"/>
                <w:spacing w:val="-6"/>
                <w:sz w:val="21"/>
                <w:szCs w:val="21"/>
                <w:lang w:val="en-US" w:eastAsia="zh-CN"/>
              </w:rPr>
              <w:t>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开办公章刻制成本（元）。</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县市场监管局、县公安局、县财政局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16</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获取经营场所</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获取经营场所制度规范化建设</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建筑许可制度规范化</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本地区是否对城镇老旧小区改造项目、旧厂房改造项目优化审批流程？审批承诺总时限是多少个工作日？流程主要有哪些优化？</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rPr>
                <w:rFonts w:hint="eastAsia"/>
                <w:lang w:val="en-US" w:eastAsia="zh-CN"/>
              </w:rPr>
            </w:pPr>
          </w:p>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建设局 </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5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本地区是否允许办理了一张建设工程规划许可证但涉及多个单位工程的工程建设项目，在符合项目整体质量安全要求、达到安全使用条件的前提下，对已满足使用功能的单位工程可采用单独竣工验收方式，单</w:t>
            </w:r>
            <w:r>
              <w:rPr>
                <w:rFonts w:hint="eastAsia" w:ascii="Nimbus Roman No9 L" w:hAnsi="Nimbus Roman No9 L" w:eastAsia="方正仿宋简体" w:cs="Nimbus Roman No9 L"/>
                <w:color w:val="000000" w:themeColor="text1"/>
                <w:spacing w:val="-6"/>
                <w:sz w:val="21"/>
                <w:szCs w:val="21"/>
                <w:lang w:val="en-US" w:eastAsia="zh-CN"/>
                <w14:textFill>
                  <w14:solidFill>
                    <w14:schemeClr w14:val="tx1"/>
                  </w14:solidFill>
                </w14:textFill>
              </w:rPr>
              <w:t>位工程验收合格后，可单独投入使用？工作成效如何？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本地区对工程建设项目立项到竣工验收哪些测绘事项实行“多测合一”？</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19</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获取经营场所</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获取经营场所制度规范化建设</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建筑许可制度规范化</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本地区是否实行基于工程风险的分类监管机制，并实质性运作？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本地区工程建设项目审批事项清单中，有多少个事项实行告知承诺制？如何对实行告知承诺制事项实行监管？（如明确监管规则、纳入信用监管等）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县住房和城乡建设局、县发展改革局、县自然资源局、市生态环境局平远分局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本地区在推进绿色建筑创建方面开展了哪些工作？（如执行绿色建筑标准、推广装配式建造方式等）*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9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本地区在规范商业楼宇（含写字楼、商住楼）、工业厂房租赁市场方面做了哪些工作？（如明确工业厂房转租分租、打击“二手房东”现象等）*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县科工商务局、高新区管委会、县住房和城乡建设局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（加分项）本地区创新经验做法，如建筑师负责制、工程质量潜在缺陷保险制度等。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县住房和城乡建设局、县自然资源局、县政务服务数据管理局、县科工商务局、县发展改革局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9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获取经营场所公共服务质量</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登记财产制度规范化</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本地区转移登记业务“跨域通办”推进情况如何？（包括跨省通办、跨市通办和全市通办等）</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县自然资源局、县住房和城乡建设局、县税务局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本地区是否开展二手房带抵押过户？工作成效如何？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本地区是否探索简化不动产非公证继承手续？办理流程有哪些优化？工作成效如何？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本地区是否已开展“交房即交证”工作？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县自然资源局、县住房和城乡建设局、县税务局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本地区创新做法，如建立登记错误赔偿机制。</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29</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获取经营场所</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获取经营场所公共服务质量</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建筑许可公共服务质量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本地区通过线上、线下渠道为申请人提供了哪些申报辅导服务？（如线上智能辅导、智能客服、业务咨询服务群、帮办代办服务等）</w:t>
            </w:r>
          </w:p>
        </w:tc>
        <w:tc>
          <w:tcPr>
            <w:tcW w:w="1586" w:type="dxa"/>
            <w:vMerge w:val="restart"/>
            <w:tcBorders>
              <w:tl2br w:val="nil"/>
              <w:tr2bl w:val="nil"/>
            </w:tcBorders>
            <w:shd w:val="clear" w:color="auto" w:fill="auto"/>
            <w:vAlign w:val="center"/>
          </w:tcPr>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建设局 </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jc w:val="center"/>
              <w:rPr>
                <w:rFonts w:hint="eastAsia"/>
                <w:lang w:val="en-US" w:eastAsia="zh-CN"/>
              </w:rPr>
            </w:pPr>
            <w:r>
              <w:rPr>
                <w:rFonts w:hint="eastAsia" w:ascii="Nimbus Roman No9 L" w:hAnsi="Nimbus Roman No9 L" w:eastAsia="方正仿宋简体" w:cs="Nimbus Roman No9 L"/>
                <w:sz w:val="21"/>
                <w:szCs w:val="21"/>
                <w:lang w:val="en-US" w:eastAsia="zh-CN"/>
              </w:rPr>
              <w:t>建设局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县住房和城乡建设局、县政务服务数据管理局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30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11"/>
                <w:sz w:val="21"/>
                <w:szCs w:val="21"/>
                <w:lang w:val="en-US" w:eastAsia="zh-CN"/>
              </w:rPr>
              <w:t>工程建设项目审批领域，哪些审批事项实现“电子证照”？</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县住房和城乡建设局、县政务服务数据管理局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31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本地区工程建设项目审批系统与哪些系统实现互联互通？（如“多规合一”平台、市政公共服务企业系统、市统一政务申办平台等）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县政务服务数据管理局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32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本地区是否将工程建设项目全流程审批事项涉及的特别程序（如现场勘验、专家评审、技术审查、公示公告等）实施清单化管理，明确设定依据、法定时限、承诺时限等要素并向社会公布？</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33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本地区是否将全流程审批涉及的专家评审、会议审查、征求意见、现场核验特别程序等纳入工程建设项目审批系统管理？</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34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本地区在保障中小微企业用地用房需求方面做了哪些工作？（如提供工业用地用房供需对接服务、标准厂房建设等）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县自然资源局、高新区管委会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35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本地区是否对产业办公用房租赁提供租金扶持政策？工作成效如何？*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县科工商务局、高新区管委会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36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近两年新增国有工业用地面积、新增产业发展用地面积（平方米）（“新增”指列入年度土地供应计划及年度出让土地）。*</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37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工业土地成交均价（元/平方米）。*</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38</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获取经营场所</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获取经营场所公共服务质量</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建筑许可公共服务质量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（加分项）本地区创新经验做法，如推进智能审批、保障项目用地需求等。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县全面开展工程建设项目审批制度改革工作领导小组成</w:t>
            </w:r>
            <w:r>
              <w:rPr>
                <w:rFonts w:hint="eastAsia" w:ascii="Nimbus Roman No9 L" w:hAnsi="Nimbus Roman No9 L" w:eastAsia="方正仿宋简体" w:cs="Nimbus Roman No9 L"/>
                <w:sz w:val="21"/>
                <w:szCs w:val="21"/>
                <w:lang w:val="en-US" w:eastAsia="zh-CN"/>
              </w:rPr>
              <w:t>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39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登记财产公共服务质量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本地区办事指南是否一致？</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p>
            <w:pPr>
              <w:pStyle w:val="2"/>
              <w:jc w:val="cente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jc w:val="center"/>
              <w:rPr>
                <w:rFonts w:hint="eastAsia"/>
                <w:lang w:val="en-US" w:eastAsia="zh-CN"/>
              </w:rPr>
            </w:pPr>
            <w:r>
              <w:rPr>
                <w:rFonts w:hint="eastAsia" w:ascii="Nimbus Roman No9 L" w:hAnsi="Nimbus Roman No9 L" w:eastAsia="方正仿宋简体" w:cs="Nimbus Roman No9 L"/>
                <w:sz w:val="21"/>
                <w:szCs w:val="21"/>
                <w:lang w:val="en-US" w:eastAsia="zh-CN"/>
              </w:rPr>
              <w:t>县自然资源局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40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本地区是否向社会公开投诉渠道、处理程序、处理时限，并向投诉人反馈处理情况？</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41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本地区是否为申请人提供导办服务？（包括线上智能导办、智能客服、线下导办服务）</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42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本地区是否为公众提供哪些不动产自动查询服务？（如查询渠道、可查询内容、“以图查房”推进情况等）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43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本地区存量房转移登记业务能否线上办？</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县自然资源局、县住房和城乡建设局、县税务局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44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本地区是否实现不动产登记全流程不同部门数据共享？（如登记部门获取住建部门网签数据、登记部门向税务部门推送不动产登记申请和办税信息等）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县自然资源局、县住房和城乡建设局、县税务局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45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对房地产开发企业集中大批量办理业务，哪些业务可以实现批量申请，相同材料只提交一次，一次办结？</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46</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获取经营场所</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获取经营场所公共服务质量</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登记财产公共服务质量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本地区是否实现不动产过户与民生服务事项（水电气网等）一同办理？实现方式是哪种（如系统对接、线下流转等）？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县自然资源局、县政务服务数据管理局、县住房和城乡建设局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47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本地区不动产登记“总对总”业务推进情况？（含金融总对总、法院总对总、税务总对总、民生总对总、公安总对总）*</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县自然资源局、县税务局、县公安局、县法院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48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（加分项）本地区创新经验做法，如便利不动产登记资料查询、“税费同缴”等。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县自然资源局、县住房和城乡建设局、县税务局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49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获取经营场所便利度</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办理建筑许可便利度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企业投资建设普通中型工业项目，从立项到竣工验收、不动产初始登记截止，需经历的办理成本。</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县住房和城乡建设局、县自然资源局、县水务局、平远供电局、平远粤海水务有限公司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50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企业投资建设普通中型工业项目，从立项到竣工验收、不动产初始登记截止，需经历的办理时间。</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 、县自然资源局、县水务局、平远供电局、平远粤海水务有限公司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51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登记财产</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存量房转移登记需支付的税和登记费是多少？（税收仅考察契税和印花税）</w:t>
            </w:r>
          </w:p>
        </w:tc>
        <w:tc>
          <w:tcPr>
            <w:tcW w:w="15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52</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市政公用基础设施报装制度规范</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化建设</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获得电力制度规范化</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本地区在规范非电网直供电用电价格、推进“转改直”等方面工作推进情况？工作成效如何？</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县发展改革局平远供电局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100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53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本地区是否推行“信用办电”，在报装用电客户无土地产权证明情况下使用信用报告或信用承诺书等经地方政府部门认可的材料替代物权证明？</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54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本地区限制停电的财务遏制措施文件是哪种类型（如规范性文件、部门协议等）？工作成效如何？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55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本地区是否建立地方性或区域性的防范外力破坏电力设施制度，并实质性运作？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56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本地区在推动新能源汽车充电桩（站）建设方面开展了哪些工作（如优化充电桩报装流程、实行“电表预装”、出台地方标准等）？工作成效如何？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57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获得用水制度规范化</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本地区是否实行供水管网分区计量管理？</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建设局 </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keepNext w:val="0"/>
              <w:keepLines w:val="0"/>
              <w:widowControl/>
              <w:suppressLineNumbers w:val="0"/>
              <w:jc w:val="center"/>
              <w:textAlignment w:val="center"/>
              <w:rPr>
                <w:rFonts w:hint="eastAsia"/>
                <w:lang w:val="en-US" w:eastAsia="zh-CN"/>
              </w:rPr>
            </w:pPr>
            <w:r>
              <w:rPr>
                <w:rFonts w:hint="eastAsia" w:ascii="Nimbus Roman No9 L" w:hAnsi="Nimbus Roman No9 L" w:eastAsia="方正仿宋简体" w:cs="Nimbus Roman No9 L"/>
                <w:sz w:val="21"/>
                <w:szCs w:val="21"/>
                <w:lang w:val="en-US" w:eastAsia="zh-CN"/>
              </w:rPr>
              <w:t>建设局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58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本地区居民用户抄表到户比例是多少？</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59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本地区是否建立地方性或区域性的防范外力破坏供水管道及附属设施制度文件，并实质性运作？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60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本地区是否建立供水中断的财务遏制机制？（如财务赔偿等）*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61</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市政公用基础设施报装制度规范</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化建设</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获得用气制度规范化</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本地区“瓶改管”、老旧小区和城中村管道天然气改造推进情况如何？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平远中燃城市燃气发展有限公司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62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本地区城市供气管网互联互通的推进情况如何？（如本地区不同企业管网联通情况，与外市管网联通情况）</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63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本地区是否建立地方性或区域性的防范外力破坏燃气管道及附属设施制度，并实质性运作？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64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获得网络制度规范化</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本地区是否将通信设施建设纳入国民经济和社会发展规划、控制性详细规划和土地出让规划设计条件？是否将通信设施纳入城市黄线管理？</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县交通运输局、县自然资源局、县住房和城乡建设局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65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本地区在推进市政通信管线迁改工作中是否落实规划预留、先建设后拆除、迁改补偿、损失赔偿等？具体工作推进情况如何？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县住房和城乡建设局、县自然资源局、县科工商务局、移动平远分公司、联通平远县分公司、电信平远分公司、</w:t>
            </w: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广东广电网络平远分公司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66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本地区是否建立地方性或区域性通信设施建设与保护工作机制，并实质性运作？（如协调解决非法阻挠施工、非法逼迁等）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67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市政公用基础设施报装公共服务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质量</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获得电力公共服务质量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系统平均停电时间、平均停电频率同比变化情况如何？</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县发展改革局平远供电局</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ascii="Nimbus Roman No9 L" w:hAnsi="Nimbus Roman No9 L" w:eastAsia="方正仿宋简体" w:cs="Nimbus Roman No9 L"/>
                <w:sz w:val="21"/>
                <w:szCs w:val="21"/>
                <w:lang w:val="en-US" w:eastAsia="zh-CN"/>
              </w:rPr>
            </w:pPr>
          </w:p>
          <w:p>
            <w:pPr>
              <w:pStyle w:val="2"/>
              <w:jc w:val="center"/>
              <w:rPr>
                <w:rFonts w:hint="eastAsia"/>
                <w:lang w:val="en-US" w:eastAsia="zh-CN"/>
              </w:rPr>
            </w:pPr>
            <w:r>
              <w:rPr>
                <w:rFonts w:hint="eastAsia" w:ascii="Nimbus Roman No9 L" w:hAnsi="Nimbus Roman No9 L" w:eastAsia="方正仿宋简体" w:cs="Nimbus Roman No9 L"/>
                <w:sz w:val="21"/>
                <w:szCs w:val="21"/>
                <w:lang w:val="en-US" w:eastAsia="zh-CN"/>
              </w:rPr>
              <w:t>县发展改革局平远供电局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68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11"/>
                <w:sz w:val="21"/>
                <w:szCs w:val="21"/>
                <w:lang w:val="en-US" w:eastAsia="zh-CN"/>
              </w:rPr>
              <w:t>本地区是否建立政企协同改革工作机制，并实质性运作？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县发展改革局、县自然资源局、县住房和城乡建设局、县政务服务数据管理局、平远供电局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69</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市政公用基础设施报装公共服务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质量</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获得电力公共服务质量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pP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本地区是否建立涉及供电过程中道路挖掘计划提前共享机制，并实质性运作？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县自然资源局、县交通运输局、县住房和城乡建设局、县政务服务数据管理局、平远供电局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70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pP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本地区是否通过主动与政府对接，可以获得哪些企业潜在用电需求信息？（如招商信息、土地出让信息、项目立项信息等）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县自然资源局、县住房和城乡建设局、县政务服务数据管理局、平远供电局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71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本地区是否公共服务（如水电气网络等）可以“一次办”？具体可以办哪些业务？</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县发展改革局、县住房和城乡建设局、县自然资源局、县科工商务局、</w:t>
            </w:r>
            <w:r>
              <w:rPr>
                <w:rFonts w:hint="eastAsia" w:ascii="Nimbus Roman No9 L" w:hAnsi="Nimbus Roman No9 L" w:eastAsia="方正仿宋简体" w:cs="Nimbus Roman No9 L"/>
                <w:spacing w:val="-6"/>
                <w:sz w:val="21"/>
                <w:szCs w:val="21"/>
                <w:lang w:val="en-US" w:eastAsia="zh-CN"/>
              </w:rPr>
              <w:t>县政务服务数据管理局、平远供电局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72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本地区是否建立市政基础设施信息管理平台，该平台包括哪些管线信息，具备什么功能（如地下管线业主单位会签、查询地下管线现状资料等）？*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县自然资源局、县住房和城乡建设局、县交通运输局、县政务服务数据管理局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73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本地区是否定期对社会公开平均停电时间和停电频率？*</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74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（加分项）本地区创新经验做法，如创新电力产品和增值服务、优化电力外线行政审批等。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县自然资源局、县住房和城乡建设局、县交通运输局、县政务服务数据管理局、平远供电局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75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市政公用基础设施报装公共服务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质量</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获得用水公共服务质量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全县有多少家自来水经营企业？*</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both"/>
              <w:textAlignment w:val="center"/>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建设局 </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jc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pStyle w:val="2"/>
              <w:jc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建设局</w:t>
            </w: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lang w:val="en-US" w:eastAsia="zh-CN"/>
              </w:rPr>
            </w:pPr>
          </w:p>
          <w:p>
            <w:pPr>
              <w:pStyle w:val="2"/>
              <w:jc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pStyle w:val="2"/>
              <w:jc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建设局</w:t>
            </w: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rPr>
                <w:rFonts w:hint="eastAsia" w:ascii="Nimbus Roman No9 L" w:hAnsi="Nimbus Roman No9 L" w:eastAsia="方正仿宋简体" w:cs="Nimbus Roman No9 L"/>
                <w:sz w:val="21"/>
                <w:szCs w:val="21"/>
                <w:lang w:val="en-US" w:eastAsia="zh-CN"/>
              </w:rPr>
            </w:pPr>
          </w:p>
          <w:p>
            <w:pPr>
              <w:rPr>
                <w:rFonts w:hint="eastAsia" w:ascii="Nimbus Roman No9 L" w:hAnsi="Nimbus Roman No9 L" w:eastAsia="方正仿宋简体" w:cs="Nimbus Roman No9 L"/>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Nimbus Roman No9 L" w:hAnsi="Nimbus Roman No9 L" w:eastAsia="方正仿宋简体" w:cs="Nimbus Roman No9 L"/>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Nimbus Roman No9 L" w:hAnsi="Nimbus Roman No9 L" w:eastAsia="方正仿宋简体" w:cs="Nimbus Roman No9 L"/>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Nimbus Roman No9 L" w:hAnsi="Nimbus Roman No9 L" w:eastAsia="方正仿宋简体" w:cs="Nimbus Roman No9 L"/>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lang w:val="en-US" w:eastAsia="zh-CN"/>
              </w:rPr>
            </w:pPr>
          </w:p>
          <w:p>
            <w:pPr>
              <w:jc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jc w:val="center"/>
              <w:rPr>
                <w:rFonts w:hint="eastAsia"/>
                <w:lang w:val="en-US" w:eastAsia="zh-CN"/>
              </w:rPr>
            </w:pPr>
            <w:r>
              <w:rPr>
                <w:rFonts w:hint="eastAsia" w:ascii="Nimbus Roman No9 L" w:hAnsi="Nimbus Roman No9 L" w:eastAsia="方正仿宋简体" w:cs="Nimbus Roman No9 L"/>
                <w:sz w:val="21"/>
                <w:szCs w:val="21"/>
                <w:lang w:val="en-US" w:eastAsia="zh-CN"/>
              </w:rPr>
              <w:t>建设局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76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本地区水质综合合格率（%）。</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77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本地区管网压力合格率（%）。</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78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供水公司是否采用自动化系统自动监测水压、供水管网漏损等？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79</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市政公用基础设施报装公共服务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质量</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获得用水公共服务质量</w:t>
            </w: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供水公司是否公开服务标准（包括服务范围、服务承诺、办事指南、承诺时间、收费标准等要素）？</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80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供水公司是否公开投诉渠道、处理程序、处理时限，并向客户反馈投诉处理情况？</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81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计划停水前供水公司通过哪些方式通知客户？（如短信、电话、公告等）</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82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供水公司线上营业厅或移动营业厅是否实现用水报装全流程线上办？（包括线上申请、上传材料、证照共享、签订合同等）</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83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除用水报装外，供水公司微信小程序、网上营业厅或APP还可以办理哪些业务？</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84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11"/>
                <w:sz w:val="21"/>
                <w:szCs w:val="21"/>
                <w:lang w:val="en-US" w:eastAsia="zh-CN"/>
              </w:rPr>
              <w:t>本地区是否建立政企协同改革工作机制，并实质性运作？</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85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本地区通过与政府对接，可以获得哪些信息来分析潜在用水需求（如招商信息、土地出让信息、项目立项信息等）？</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 、县自然资源局、县政务服务数据管理局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86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本地区是否公共服务（如水电气网络等）可以“一次办”？具体可以办哪些业务？</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县住房和城乡建设局、县发展改革局、县政务服务数据管理局、平远供电局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87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本地区是否建立涉及供水过程中道路挖掘计划提前共享机制，并实质性运作？</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88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本地区是否建立市政基础设施信息管理平台，该平台包括哪些管线信息，具备什么功能（如地下管线业主单位会签、查询地下管线现状资料等）？*</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县自然资源局、县住房和城乡建设局、县交通运输局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89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（加分项）本地区创新经验做法，如优化外线行政审批等。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90</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市政公用基础设施报装公共服务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质量</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获得用气公共服务质量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pP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全县有多少家管道燃气经营企业？*</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91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pP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全县管道天然气普及率（%）。</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92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pP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全县储气量可保障全县消费多少天？</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93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燃气企业是否建立信息化系统，对燃气供需状况、设施实施动态、安全状态等全流程监测？</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平远中燃城市燃气发展有限公司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94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燃气公司是否公开服务标准？（包括服务范围、服务承诺、办事指南、承诺时间、收费标准等要素）</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平远中燃城市燃气发展有限公司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95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燃气企业是否公开投诉渠道、处理程序、处理时限，并向客户反馈投诉处理情况？</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平远中燃城市燃气发展有限公司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96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本地区燃气线上营业厅是否实现用气报装全流程线上办？（线上申请、上传材料、证照共享、签订合同等）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平远中燃城市燃气发展有限公司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97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除用气报装外，燃气企业微信小程序、网上营业厅或APP还可以办理哪些业务？</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平远中燃城市燃气发展有限公司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98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本地区燃气企业通过与政府对接，可以获得哪些企业潜在用气需求信息（如招商信息、土地出让信息、项目立项信息等）？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平远中燃城市燃气发展有限公司、县自然资源局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99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11"/>
                <w:sz w:val="21"/>
                <w:szCs w:val="21"/>
                <w:lang w:val="en-US" w:eastAsia="zh-CN"/>
              </w:rPr>
              <w:t>本地区是否建立政企协同改革工作机制，并实质性运作？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100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本地区是否公共服务（如水电气网络等）可以“一次办”？具体可以办哪些业务？</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县住房和城乡建设局、县发展改革局、县政务服务数据管理局、平远供电局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101</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市政公用基础设施报装公共服务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质量</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获得用气公共服务质量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本地区是否建立涉及供气过程中道路挖掘计划提前共享机制，并实质性运作？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102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本地区是否建立市政基础设施信息管理平台，该平台包括哪些管线信息，具备什么功能？（如地下管线业主单位会签、查询地下管线现状资料等）*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县自然资源局、县住房和城乡建设局、县交通运输局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103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（加分项）本地区创新经验做法，如优化外线行政审批等。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 、平远中燃城市燃气发展有限公司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104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获得网络公共服务质量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电信运营企业在哪些渠道（如官网、营业厅等）向企业和群众公示资费“清单”？</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县科工商务局</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县科工商务局</w:t>
            </w:r>
          </w:p>
          <w:p>
            <w:pPr>
              <w:pStyle w:val="2"/>
              <w:rPr>
                <w:rFonts w:hint="eastAsia"/>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pP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移动平远分公司、联通平远县分公司、电信平远分公司、广东广电网络平远分公司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105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电信运营企业是否公开投诉渠道、处理程序、处理时限，并向客户反馈投诉处理情况？</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pP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移动平远分公司、联通平远县分公司、电信平远分公司、广东广电网络平远分公司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106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本地区是否网络可以跟供电、供水、供气等其他公用</w:t>
            </w:r>
            <w:r>
              <w:rPr>
                <w:rFonts w:hint="eastAsia" w:ascii="Nimbus Roman No9 L" w:hAnsi="Nimbus Roman No9 L" w:eastAsia="方正仿宋简体" w:cs="Nimbus Roman No9 L"/>
                <w:spacing w:val="-6"/>
                <w:sz w:val="21"/>
                <w:szCs w:val="21"/>
                <w:lang w:val="en-US" w:eastAsia="zh-CN"/>
              </w:rPr>
              <w:t>事业一起报装？具体可联办的事项和办理流程如何？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pP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县发展改革局、县住房和城乡建设局、县政务服务数据管理局、移动平远分公司、联通平远县分公司、电信平远分公司、广东广电网络平远分公司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107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本地区电信运营商通过与政府对接，可以获得哪些企业潜在网络需求信息（如招商信息、土地出让信息、项目立项信息等）？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pP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移动平远分公司、联通平远县分公司、电信平远分公司、广东广电网络平远分公司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108</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市政公用基础设施报装公共服务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质量</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获得网络公共服务质量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本地区是否建立道路挖掘计划提前共享机制，并实质性运作？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县住房和城乡建设局、移动平远分公司、联通平远县分公司、电信平远分公司、广东广电网络平远分公司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7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109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（加分项）本地区创新经验做法，如优化外线行政审</w:t>
            </w:r>
            <w:r>
              <w:rPr>
                <w:rFonts w:hint="eastAsia" w:ascii="Nimbus Roman No9 L" w:hAnsi="Nimbus Roman No9 L" w:eastAsia="方正仿宋简体" w:cs="Nimbus Roman No9 L"/>
                <w:spacing w:val="-6"/>
                <w:sz w:val="21"/>
                <w:szCs w:val="21"/>
                <w:lang w:val="en-US" w:eastAsia="zh-CN"/>
              </w:rPr>
              <w:t>批、降低中小企业资费、推动电信基础设施共建共享等。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县科工商务局、县住房和城乡建设局、县自然资源局、县交通运输局、移动平远分公司、联通平远县分公司、电信平</w:t>
            </w: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远分公司、</w:t>
            </w:r>
            <w:r>
              <w:rPr>
                <w:rFonts w:hint="eastAsia" w:ascii="Nimbus Roman No9 L" w:hAnsi="Nimbus Roman No9 L" w:eastAsia="方正仿宋简体" w:cs="Nimbus Roman No9 L"/>
                <w:sz w:val="21"/>
                <w:szCs w:val="21"/>
                <w:lang w:val="en-US" w:eastAsia="zh-CN"/>
              </w:rPr>
              <w:t>广东</w:t>
            </w: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广电网络平远分公司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110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市政公用基础设施报装便利度</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获得电力便利度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电力外线行政审批承诺办理时间（工作日）</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县发展改革局平远供电局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111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低压用电报装成本（元）。</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112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高压用电报装成本（元）。</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113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平均到户电价（元/千伏安*月）。*</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平远供电局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114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市政公用基础设施报装便利度</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获得用水便利度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供水企业承诺时间（工作日）。</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建设局</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jc w:val="center"/>
              <w:rPr>
                <w:rFonts w:hint="eastAsia" w:ascii="Nimbus Roman No9 L" w:hAnsi="Nimbus Roman No9 L" w:eastAsia="方正仿宋简体" w:cs="Nimbus Roman No9 L"/>
                <w:sz w:val="21"/>
                <w:szCs w:val="21"/>
                <w:lang w:val="en-US" w:eastAsia="zh-CN"/>
              </w:rPr>
            </w:pPr>
          </w:p>
          <w:p>
            <w:pPr>
              <w:pStyle w:val="2"/>
              <w:jc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pStyle w:val="2"/>
              <w:jc w:val="center"/>
              <w:rPr>
                <w:rFonts w:hint="eastAsia"/>
                <w:lang w:val="en-US" w:eastAsia="zh-CN"/>
              </w:rPr>
            </w:pPr>
            <w:r>
              <w:rPr>
                <w:rFonts w:hint="eastAsia" w:ascii="Nimbus Roman No9 L" w:hAnsi="Nimbus Roman No9 L" w:eastAsia="方正仿宋简体" w:cs="Nimbus Roman No9 L"/>
                <w:sz w:val="21"/>
                <w:szCs w:val="21"/>
                <w:lang w:val="en-US" w:eastAsia="zh-CN"/>
              </w:rPr>
              <w:t>建设局</w:t>
            </w:r>
          </w:p>
          <w:p>
            <w:pPr>
              <w:rPr>
                <w:rFonts w:hint="eastAsia"/>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115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用水报装系统平均办理时间（工作日）。</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116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外线工程行政审批承诺时间（工作日）。</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117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用水报装成本（元）。</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118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本地区一般商业用户基本水价（不含污水处理费、水资源费等，如商业用户也收取阶梯水价，则填入第一阶梯水价）（元/立方米）。*</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平远粤海水务有限公司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119</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市政公用基础设施报装便利度</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获得用气便利度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供气企业承诺时间（工作日）。</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平远中燃城市燃气发展有限公司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120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用气报装系统平均办理时间（工作日）。</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平远中燃城市燃气发展有限公司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121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外线工程行政审批承诺时间（工作日）。</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平远中燃城市燃气发展有限公司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122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用气报装成本（元）。</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平远中燃城市燃气发展有限公司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123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本地区一般商业用户天然气价格（元/立方米）。*</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平远中燃城市燃气发展有限公司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124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获得网络便利度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企业固定宽带承诺办理时间（工作日）。</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移动平远分公司、联通平远县分公司、电信平远分公司、广东广电网络平远分公司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125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固定宽带报装系统平均办理时间（工作日）。</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移动平远分公司、联通平远县分公司、电信平远分公司、广东广电网络平远分公司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126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通信管线工程行政审批时限（工作日）。</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移动平远分公司、联通平远县分公司、电信平远分公司、广东广电网络平远分公司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127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企业固定宽带报装价格（初次报装企业支付成本）（元）。</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移动平远分公司、联通平远县分公司、电信平远分公司、广东广电网络平远分公司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128</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劳动力市场监管</w:t>
            </w: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劳动力市场监管制度</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规范化建设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本地区是否建立健全劳动人事争议风险监测机制（突出农民工和劳务派遣、新就业形态劳动者等重点群体），并实质性运作？*</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p>
            <w:pPr>
              <w:pStyle w:val="2"/>
              <w:rPr>
                <w:rFonts w:hint="eastAsia"/>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129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本地区是否推进人力资源服务机构诚信示范建设，是否依法开展人力资源服务诚信示范机构评选？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130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是否开展和谐劳动关系企业培育、评优等工作？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131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本地区在维护新就业形态劳动者劳动权益保障方面落实情况如何？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132</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劳动力市场监管</w:t>
            </w: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劳动力市场公共服务质量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本地区劳动关系风险预警监测系统的监测领域（个）。</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133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本地区人社部门是否建立公共就业服务机构，是否设立固定的公共人力资源市场？</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134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本地区各级政务服务综合大厅是否均设立提供基本就业创业服务的窗口？</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135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本地区失业保险稳岗返还“免申即享”，社会保险补贴“直补快办”落实情况？</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136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本地区在发放职业培训补贴、职业技能鉴定补贴、岗位补贴和社会保险补贴、一次性留工培训补助方面，推行“一网通办”的落实情况？</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137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本地区是否建立基层劳动人事争议调解组织（调解组织覆盖情况），并实质性运作？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县人力资源和社会保障局、县法院、县市场监管局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138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流动人员人事档案是否统一集中线上办理，档案影像化是否稳步推进？</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139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本地区对失业人员和求职者就业帮扶和技能培训工作的落实成效如何？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140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（加分项）本地区创新经验做法，如基层劳动人事争议调解组织获奖情况等。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县人力资源和社会保障局、县政务服务数据管理局、县法院、县交通运输局、县市场监管局、县医疗保障局、县总工会、县工商联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141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企业用工便利度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位空缺与求职人数比率。*</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142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本地区在推进人社服务事项“打包办”提质方面的落实成效如何？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143</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劳动力市场监管</w:t>
            </w: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企业用工便利度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本地区在推进人社服务事项“提速办”增效方面的落实成效如何？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144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本地区加强零工市场建设、强化零工人员就业服务的工作成效（如建立零工求职招聘信息服务制度，加强零工岗位信息收集和发布，编制零工市场清单，建立</w:t>
            </w:r>
            <w:r>
              <w:rPr>
                <w:rFonts w:hint="eastAsia" w:ascii="Nimbus Roman No9 L" w:hAnsi="Nimbus Roman No9 L" w:eastAsia="方正仿宋简体" w:cs="Nimbus Roman No9 L"/>
                <w:spacing w:val="-6"/>
                <w:sz w:val="21"/>
                <w:szCs w:val="21"/>
                <w:lang w:val="en-US" w:eastAsia="zh-CN"/>
              </w:rPr>
              <w:t>零工“即时快招”服务模式，完善零工市场秩序维护等）。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145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本地在加强招聘监管方面的工作成效？*</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146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（加分项）本地区创新做法。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147</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获得金融服务</w:t>
            </w: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获得金融服务制度</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规范化建设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本地区是否推进银担、银保、政银企合作？工作成效如何？</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pStyle w:val="2"/>
              <w:jc w:val="center"/>
              <w:rPr>
                <w:rFonts w:hint="eastAsia"/>
                <w:lang w:val="en-US" w:eastAsia="zh-CN"/>
              </w:rPr>
            </w:pPr>
            <w:r>
              <w:rPr>
                <w:rFonts w:hint="eastAsia" w:ascii="Nimbus Roman No9 L" w:hAnsi="Nimbus Roman No9 L" w:eastAsia="方正仿宋简体" w:cs="Nimbus Roman No9 L"/>
                <w:sz w:val="21"/>
                <w:szCs w:val="21"/>
                <w:lang w:val="en-US" w:eastAsia="zh-CN"/>
              </w:rPr>
              <w:t>县政府办公室（县金融局）</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jc w:val="center"/>
              <w:rPr>
                <w:rFonts w:hint="eastAsia"/>
                <w:lang w:val="en-US" w:eastAsia="zh-CN"/>
              </w:rPr>
            </w:pPr>
            <w:r>
              <w:rPr>
                <w:rFonts w:hint="eastAsia" w:ascii="Nimbus Roman No9 L" w:hAnsi="Nimbus Roman No9 L" w:eastAsia="方正仿宋简体" w:cs="Nimbus Roman No9 L"/>
                <w:sz w:val="21"/>
                <w:szCs w:val="21"/>
                <w:lang w:val="en-US" w:eastAsia="zh-CN"/>
              </w:rPr>
              <w:t>县政府办公室（县金融局）</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县政府办公室（县金融局）、人行平远县支行、县财政局（县国资监管局）、县科工商务局、县工商联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148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本地区是否设立中小微企业转贷资金池并开展实质性运作？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pStyle w:val="2"/>
              <w:jc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县政府办公室（县金融局）</w:t>
            </w:r>
            <w:r>
              <w:rPr>
                <w:rFonts w:hint="eastAsia"/>
                <w:lang w:val="en-US" w:eastAsia="zh-CN"/>
              </w:rPr>
              <w:t>、</w:t>
            </w:r>
            <w:r>
              <w:rPr>
                <w:rFonts w:hint="eastAsia" w:ascii="Nimbus Roman No9 L" w:hAnsi="Nimbus Roman No9 L" w:eastAsia="方正仿宋简体" w:cs="Nimbus Roman No9 L"/>
                <w:sz w:val="21"/>
                <w:szCs w:val="21"/>
                <w:lang w:val="en-US" w:eastAsia="zh-CN"/>
              </w:rPr>
              <w:t>县科工商务局、县财政局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149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本地区是否设立中小微企业信贷风险补偿资金（含科技信贷风险准备金）并开展实质性运作？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县科工商务局、县财政局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150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本地区是否发展创投、风投等基金并开展实质性运作？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w:t>
            </w: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局、县财政局（县国资监管局）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9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151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本地区鼓励和引导银行业金融机构优化动产和权利融资业务的工作成效如何？（如围绕扩大押品准入范围、丰富融资服务模式、深化供应链金融服务、提升动产和权利融资风险管理能力等）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pStyle w:val="2"/>
              <w:jc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县政府办公室（县金融局）</w:t>
            </w:r>
            <w:r>
              <w:rPr>
                <w:rFonts w:hint="eastAsia"/>
                <w:lang w:val="en-US" w:eastAsia="zh-CN"/>
              </w:rPr>
              <w:t>、</w:t>
            </w:r>
            <w:r>
              <w:rPr>
                <w:rFonts w:hint="eastAsia" w:ascii="Nimbus Roman No9 L" w:hAnsi="Nimbus Roman No9 L" w:eastAsia="方正仿宋简体" w:cs="Nimbus Roman No9 L"/>
                <w:sz w:val="21"/>
                <w:szCs w:val="21"/>
                <w:lang w:val="en-US" w:eastAsia="zh-CN"/>
              </w:rPr>
              <w:t>人行平远县支行、县科工商务局、县市场监管局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152</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获得金融服务</w:t>
            </w: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获得金融服务制度</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规范化建设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为绿色发展和经济转型提供哪些金融支撑？（如设立绿色金融发展专项资金，健全绿色低碳项目融资费用补贴和风险分担机制，对金融机构绿色信贷风险给予补偿，对小微企业获取绿色融资开展的绿色认证与融资担保费用给予补贴或对绿色企业资本市场直接融资给予补贴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pStyle w:val="2"/>
              <w:jc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县政府办公室（县金融局）</w:t>
            </w:r>
            <w:r>
              <w:rPr>
                <w:rFonts w:hint="eastAsia"/>
                <w:lang w:val="en-US" w:eastAsia="zh-CN"/>
              </w:rPr>
              <w:t>、</w:t>
            </w:r>
            <w:r>
              <w:rPr>
                <w:rFonts w:hint="eastAsia" w:ascii="Nimbus Roman No9 L" w:hAnsi="Nimbus Roman No9 L" w:eastAsia="方正仿宋简体" w:cs="Nimbus Roman No9 L"/>
                <w:sz w:val="21"/>
                <w:szCs w:val="21"/>
                <w:lang w:val="en-US" w:eastAsia="zh-CN"/>
              </w:rPr>
              <w:t>人行平远县支行、县财政局、县发展改革局、市生态环境局平远分局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153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本地区是否完善绿色金融监管制度？包括制定绿色小微企业评价规范，推动金融机构完善绿色贷款评级方法和项目筛选方式，开展绿色融资项目环境效益第三方评价等。*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人行平远县支行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154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pStyle w:val="2"/>
              <w:jc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县政府办公室（县金融局）</w:t>
            </w:r>
            <w:r>
              <w:rPr>
                <w:rFonts w:hint="eastAsia"/>
                <w:lang w:val="en-US" w:eastAsia="zh-CN"/>
              </w:rPr>
              <w:t>、</w:t>
            </w:r>
            <w:r>
              <w:rPr>
                <w:rFonts w:hint="eastAsia" w:ascii="Nimbus Roman No9 L" w:hAnsi="Nimbus Roman No9 L" w:eastAsia="方正仿宋简体" w:cs="Nimbus Roman No9 L"/>
                <w:sz w:val="21"/>
                <w:szCs w:val="21"/>
                <w:lang w:val="en-US" w:eastAsia="zh-CN"/>
              </w:rPr>
              <w:t>人行平远县支行、县财政局</w:t>
            </w: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（县国资监管局）</w:t>
            </w:r>
            <w:r>
              <w:rPr>
                <w:rFonts w:hint="eastAsia" w:ascii="Nimbus Roman No9 L" w:hAnsi="Nimbus Roman No9 L" w:eastAsia="方正仿宋简体" w:cs="Nimbus Roman No9 L"/>
                <w:sz w:val="21"/>
                <w:szCs w:val="21"/>
                <w:lang w:val="en-US" w:eastAsia="zh-CN"/>
              </w:rPr>
              <w:t>、县市场监管局、县科工商务局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155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获得金融公共服务质量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本地区地方融资平台建设情况如何？*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pStyle w:val="2"/>
              <w:jc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县政府办公室（县金融局）</w:t>
            </w:r>
            <w:r>
              <w:rPr>
                <w:rFonts w:hint="eastAsia"/>
                <w:lang w:val="en-US" w:eastAsia="zh-CN"/>
              </w:rPr>
              <w:t>、</w:t>
            </w:r>
            <w:r>
              <w:rPr>
                <w:rFonts w:hint="eastAsia" w:ascii="Nimbus Roman No9 L" w:hAnsi="Nimbus Roman No9 L" w:eastAsia="方正仿宋简体" w:cs="Nimbus Roman No9 L"/>
                <w:sz w:val="21"/>
                <w:szCs w:val="21"/>
                <w:lang w:val="en-US" w:eastAsia="zh-CN"/>
              </w:rPr>
              <w:t>人行平远县支行、县财政局</w:t>
            </w: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（县国资监管局）</w:t>
            </w:r>
            <w:r>
              <w:rPr>
                <w:rFonts w:hint="eastAsia" w:ascii="Nimbus Roman No9 L" w:hAnsi="Nimbus Roman No9 L" w:eastAsia="方正仿宋简体" w:cs="Nimbus Roman No9 L"/>
                <w:sz w:val="21"/>
                <w:szCs w:val="21"/>
                <w:lang w:val="en-US" w:eastAsia="zh-CN"/>
              </w:rPr>
              <w:t>、县发展改革局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156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企业融资便利度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本地区采取哪些措施推动金融机构信贷服务减环节、减时间、降成本？</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人行平远县支行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157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本地区采取哪些措施规范金融机构信贷服务收费？</w:t>
            </w:r>
            <w:r>
              <w:rPr>
                <w:rFonts w:hint="eastAsia" w:ascii="Nimbus Roman No9 L" w:hAnsi="Nimbus Roman No9 L" w:eastAsia="方正仿宋简体" w:cs="Nimbus Roman No9 L"/>
                <w:spacing w:val="-6"/>
                <w:sz w:val="21"/>
                <w:szCs w:val="21"/>
                <w:lang w:val="en-US" w:eastAsia="zh-CN"/>
              </w:rPr>
              <w:t>（如整治超公示标准收费、收费与服务项目不符等行为）</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人行平远县支行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158</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国际贸易</w:t>
            </w: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国际贸易制度规范化建设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本地区在发展数字贸易方面有哪些举措？*</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159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160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国际贸易公共服务质量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17"/>
                <w:sz w:val="21"/>
                <w:szCs w:val="21"/>
                <w:lang w:val="en-US" w:eastAsia="zh-CN"/>
              </w:rPr>
              <w:t>本地区服务贸易进出口总额（亿元）、同比增长率（%）。*</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161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县科工商务局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162</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纳税</w:t>
            </w:r>
          </w:p>
          <w:p>
            <w:pPr>
              <w:rPr>
                <w:rFonts w:hint="eastAsia"/>
                <w:lang w:val="en-US" w:eastAsia="zh-CN"/>
              </w:rPr>
            </w:pP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税收法规透明度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纳税人可以在哪些渠道查询税收法律法规信息？（如税务局官网、税务局官方微信、税企互动平台等）</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both"/>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jc w:val="center"/>
              <w:rPr>
                <w:rFonts w:hint="eastAsia"/>
                <w:lang w:val="en-US" w:eastAsia="zh-CN"/>
              </w:rPr>
            </w:pPr>
            <w:r>
              <w:rPr>
                <w:rFonts w:hint="eastAsia" w:ascii="Nimbus Roman No9 L" w:hAnsi="Nimbus Roman No9 L" w:eastAsia="方正仿宋简体" w:cs="Nimbus Roman No9 L"/>
                <w:sz w:val="21"/>
                <w:szCs w:val="21"/>
                <w:lang w:val="en-US" w:eastAsia="zh-CN"/>
              </w:rPr>
              <w:t>县税务局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163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本地区是否对办税业务制定专门操作指引，并公开？</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164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本地区是否向社会公开社保费缴费事项清单和办事指南？</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165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本地区是否整合办税服务厅对外咨询电话，集中为纳税人提供咨询服务？</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166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本地区是否面向社会公众开展有关环境保护税方面的宣传？</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167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纳税公共服务质量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本地区税务部门与哪些政府部门实现数据共享，免于纳税人（缴费人）重复提供资料？</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168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本地区是否实现以前年度企业所得税网上更正功能？</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169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电子税务局能否自动判别税收优惠条件，自动计算减免税额，辅助纳税人进行减免申报？</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170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本地区是否实现社保经办和缴费业务线上“一窗通办”、线下“一厅联办”？</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171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社保退费业务能否实现“全流程网办”？</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172</w:t>
            </w:r>
          </w:p>
        </w:tc>
        <w:tc>
          <w:tcPr>
            <w:tcW w:w="745" w:type="dxa"/>
            <w:vMerge w:val="continue"/>
            <w:tcBorders>
              <w:tl2br w:val="nil"/>
              <w:tr2bl w:val="nil"/>
            </w:tcBorders>
            <w:shd w:val="clear" w:color="auto" w:fill="auto"/>
            <w:vAlign w:val="center"/>
          </w:tcPr>
          <w:p>
            <w:pPr>
              <w:rPr>
                <w:rFonts w:hint="eastAsia"/>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本地区税务稽查部门与哪些部门（如公安机关、银保监等）建立协作机制来获取外部机构涉案资金信息？</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173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本地区是否建立风险分级分类管理机制和风险管理任务合并机制，并实质性运作？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174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本地区是否建立税费争议解决机制？此项机制人员构成如何？成效如何？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175</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纳税</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纳税公共服务质量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本地区是否定期向社会公开税务工作年度报告（如税收营商环境白皮书、税收服务年度发展报告等）？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176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本地区是否向社会公开针对税务人员不当行为的投诉举报途径？工作成效如何？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177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本地区为纳税人提供哪些需求反馈渠道？（如电子税务局、微信公众号）</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178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县税务局、县人力资源和社会保障局、县医疗保障局、县政务服务数据管理局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179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纳税便利度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本地区为大企业提供哪些税收确定性服务？（如开展大企业遵从评价、集团信用预警、事先裁定等）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180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纳税人是否可以通过电子税务局、征纳互动平台等渠道发起远程咨询，实现“办问协同”？</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181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本地区是否开展税企数据互联互通试点工作？主要开展了哪些工作？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182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本地区是否实现增值税申报表自动预填？</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bookmarkStart w:id="0" w:name="_GoBack"/>
            <w:r>
              <w:rPr>
                <w:rFonts w:hint="eastAsia" w:ascii="Nimbus Roman No9 L" w:hAnsi="Nimbus Roman No9 L" w:eastAsia="方正仿宋简体" w:cs="Nimbus Roman No9 L"/>
                <w:sz w:val="21"/>
                <w:szCs w:val="21"/>
                <w:lang w:val="en-US" w:eastAsia="zh-CN"/>
              </w:rPr>
              <w:t>183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县税务局、县人力资源和社会保障局、县医疗保障局、县政务服务数据管理局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184</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解决商业纠纷</w:t>
            </w: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解决商业纠纷制度</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规范化建设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是否落实立案登记制，畅通立案渠道?</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jc w:val="center"/>
              <w:rPr>
                <w:rFonts w:hint="eastAsia"/>
                <w:lang w:val="en-US" w:eastAsia="zh-CN"/>
              </w:rPr>
            </w:pPr>
            <w:r>
              <w:rPr>
                <w:rFonts w:hint="eastAsia" w:ascii="Nimbus Roman No9 L" w:hAnsi="Nimbus Roman No9 L" w:eastAsia="方正仿宋简体" w:cs="Nimbus Roman No9 L"/>
                <w:sz w:val="21"/>
                <w:szCs w:val="21"/>
                <w:lang w:val="en-US" w:eastAsia="zh-CN"/>
              </w:rPr>
              <w:t>县法院</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185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是否按规定召开庭前会议，根据案件具体情况，明确庭前会议内容？</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186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是否严格规范民商事案件延长审限和延期开庭次数？</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187</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解决商业纠纷</w:t>
            </w: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解决商业纠纷制度</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规范化建设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是否进一步规范民事诉讼保全和执行案件查封、扣押、冻结财产行为，强化善意文明执行理念?</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188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是否推进生态环境和资源保护领域公益诉讼，对违法企业或个人进行司法审判？*</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189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（加分项）本地区创新经验做法，如落实普通程序独任审理、二审独任制、电子送达、司法确认等。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190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解决商业纠纷</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（加分项）本地区创新经验做法，如诉源治理、智慧法院建设等。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191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解决商业纠纷便利度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（加分项）本地区创新经验做法，如繁简分流、查控机制建设、执行联动等。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192</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促进市场竞争制度规范化建设</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政府采购制度规范化</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本地区财政部门开展政府采购需求管理监督检查的落实情况（如检查采购人确定采购需求情况、编制采购实施计划情况、健全内控制度情况等）。</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r>
              <w:rPr>
                <w:rFonts w:hint="eastAsia" w:ascii="Nimbus Roman No9 L" w:hAnsi="Nimbus Roman No9 L" w:eastAsia="方正仿宋简体" w:cs="Nimbus Roman No9 L"/>
                <w:sz w:val="21"/>
                <w:szCs w:val="21"/>
                <w:lang w:val="en-US" w:eastAsia="zh-CN"/>
              </w:rPr>
              <w:t>县财政局</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ascii="Nimbus Roman No9 L" w:hAnsi="Nimbus Roman No9 L" w:eastAsia="方正仿宋简体" w:cs="Nimbus Roman No9 L"/>
                <w:sz w:val="21"/>
                <w:szCs w:val="21"/>
                <w:lang w:val="en-US" w:eastAsia="zh-CN"/>
              </w:rPr>
            </w:pPr>
          </w:p>
          <w:p>
            <w:pPr>
              <w:pStyle w:val="2"/>
              <w:jc w:val="center"/>
              <w:rPr>
                <w:rFonts w:hint="eastAsia"/>
                <w:lang w:val="en-US" w:eastAsia="zh-CN"/>
              </w:rPr>
            </w:pPr>
            <w:r>
              <w:rPr>
                <w:rFonts w:hint="eastAsia" w:ascii="Nimbus Roman No9 L" w:hAnsi="Nimbus Roman No9 L" w:eastAsia="方正仿宋简体" w:cs="Nimbus Roman No9 L"/>
                <w:sz w:val="21"/>
                <w:szCs w:val="21"/>
                <w:lang w:val="en-US" w:eastAsia="zh-CN"/>
              </w:rPr>
              <w:t>县财政局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193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规范开展政府采购绩效管理工作（如建立政府采购绩效评估制度、预算项目实施全过程绩效管理、合理设置绩效目标和指标、定期开展绩效监控和评价、强化绩效评价结果运用等）？取得的工作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194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本地区是否开展政府采购“双随机、一公开”检查？成效如何？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195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本地区财政部门是否对行业主体（供应商、采购代理机构和评审专家等）开展信用评价？</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196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本地区是否建立供应商合同履约诚信管理和惩罚机制？</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197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本地区对于采购人延期付款是否制定了约束措施？</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198</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促进市场竞争制度规范化建设</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政府采购制度规范化</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本地区是否建立对政府采购保证金收取和退还情况的日常监管工作机制并实质性运作？（如开展日常监管、将保证金收取和退还情况纳入代理机构考核监督评价范围等）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199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面向中小企业采购合同份额是否占本地区政府采购合同总金额40%以上，面向小微企业采购份额是否占本地区政府采购合同总金额28%以上？（统计200万元以上的货物、服务采购项目，400万元以上的工程采购项目）</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县财政局、县发展改革局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200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本地区节能节水产品采购金额占同类产品采购金额的比重（%）</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201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本地区是否建立政府采购付款期限制度？*</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202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本地区是否在标准采购文件中加入鼓励采购环保产品相关条款？*</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203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本地区服务类、工程类政府采购项目中采用询价数量占比是多少？*</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204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（加分项）本地区创新经验做法，如推广绿色建筑和绿色建材应用、建立调解裁决机制等。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205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招标投标制度规范化</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本地区招投标过程是否实行全流程信息公开？（根据《广东省工程建设项目招标投标信息公开目录》的内容进行信息公开）</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w:t>
            </w: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both"/>
              <w:textAlignment w:val="center"/>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建设局</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pStyle w:val="2"/>
              <w:jc w:val="center"/>
              <w:rPr>
                <w:rFonts w:hint="eastAsia"/>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县住房和城乡建设局、县水务局、县农业农村局、县交通运输局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206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本地区招标计划提前发布制度的落实情况如何？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县住房和城乡建设局、县水务局、县农业农村局、县交通运输局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207</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促进市场竞争制度规范化建设</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招标投标制度规范化</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w:t>
            </w: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本地区是否构建以信用为基础、衔接标前标中标后各环节的监管机制？</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县住房和城乡建设局、县水务局、县农业农村局、县交通运输局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208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本地区是否推进依据信用风险分类结果开展招标投标“双随机、一公开”检查的工作？</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县住房和城乡建设局、县水务局、县农业农村局、县交通运输局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209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本地区是否开展清理招投标领域违反统一市场建设的工作？（如制定招标投标制度是否进行公平竞争审查、合法性审核，是否开展专项清理等）</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县住房和城乡建设局、县水务局、县农业农村局、县交通运输局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210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对招标文件及所附招标合同的保证金收取进行重点检查？〔是否存在拒收保函（保险）方式的投标保证金、履约保证金、质量保证金；是否存在违反数额（比例）、方式、时限的规定收取投标保证金、履约保证金、质量保证金的；是否存在违法设置预付款保证金等无法律法规依据的涉企保证金的〕</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县住房和城乡建设局、县水务局、县农业农村局、县交通运输局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4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211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对进场交易的工程建设项目实行台账管理？〔对每个进场项目的名称、招标人（招标代理机构）、项目投资规模、主管部门，是否要求提交投标保证金、履约保证金、工程质量保证金及各类保证金提交方式等情况进行全面登记造册〕</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县住房和城乡建设局、县水务局、县农业农村局、县交通运输局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212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本地区是否在标准招标文件中加入鼓励采购环保产品相关条款？*</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县住房和城乡建设局、县水务局、县农业农村局、县交通运输局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213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本地区是否建立工程建设项目付款期限制度？*</w:t>
            </w:r>
          </w:p>
        </w:tc>
        <w:tc>
          <w:tcPr>
            <w:tcW w:w="1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县住房和城乡建设局、县水务局、县农业农村局、县交通运输局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214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（加分项）本地区创新经验做法，如鼓励中小企业参与工程建设项目招标投标。</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0"/>
                <w:sz w:val="21"/>
                <w:szCs w:val="21"/>
                <w:lang w:val="en-US" w:eastAsia="zh-CN"/>
              </w:rPr>
              <w:t>县住房和城乡建设局、县发展改革局、县水务局、县农业农村局、县交通运输局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215</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促进市场竞争制度规范化建设</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市场监管制度规范化</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本地区开展部门联合“双随机、一公开”监管，实现“进一次门、查多项事”工作落实情况如何？（联合随机抽查事项清单涵盖的部门数、领域数）</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县市场监管局县发展改革局县司法局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216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本地区促进“双随机、一公开”监管与信用监管有效衔接，实施信用风险分类监管工作落实情况如何？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217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本地区是否理顺成品油、农产品等领域监管机制，明确监管责任部门，统一行业监管标准？</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218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本地区是否在食品药品、环境保护、水土保持、医疗</w:t>
            </w:r>
            <w:r>
              <w:rPr>
                <w:rFonts w:hint="eastAsia" w:ascii="Nimbus Roman No9 L" w:hAnsi="Nimbus Roman No9 L" w:eastAsia="方正仿宋简体" w:cs="Nimbus Roman No9 L"/>
                <w:spacing w:val="-6"/>
                <w:sz w:val="21"/>
                <w:szCs w:val="21"/>
                <w:lang w:val="en-US" w:eastAsia="zh-CN"/>
              </w:rPr>
              <w:t>卫生等重点领域，建立完善全链条、全流程监管体系？</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县市场监管局、市生态环境局平远分局、县水务局、县卫生健康局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219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本地区制定及公布包容审慎监管执法减免责“四张清单”（免罚清单、从轻处罚清单、减轻处罚清单以及免强制清单）的部门数量（个）。</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220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本地区是否推行涉企“综合查一次”清单制度？取得工作成效。</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221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本地区是否探索实施执法“观察期”制度？工作成效如何？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222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（加分项）本地区创新经验做法，如信用应用创新及获奖情况、建立完善信用+监管体系、非现场监管成效等。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color w:val="000000" w:themeColor="text1"/>
                <w:sz w:val="21"/>
                <w:szCs w:val="21"/>
                <w:lang w:val="en-US" w:eastAsia="zh-CN"/>
                <w14:textFill>
                  <w14:solidFill>
                    <w14:schemeClr w14:val="tx1"/>
                  </w14:solidFill>
                </w14:textFill>
              </w:rPr>
              <w:t>县“双随机、一公开”监管工作联席会议</w:t>
            </w:r>
            <w:r>
              <w:rPr>
                <w:rFonts w:hint="eastAsia" w:ascii="Nimbus Roman No9 L" w:hAnsi="Nimbus Roman No9 L" w:eastAsia="方正仿宋简体" w:cs="Nimbus Roman No9 L"/>
                <w:sz w:val="21"/>
                <w:szCs w:val="21"/>
                <w:lang w:val="en-US" w:eastAsia="zh-CN"/>
              </w:rPr>
              <w:t>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223</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促进市场竞争制度规范化建设</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知识产权制度规范化</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是否落实专利实施许可合同备案制度？*</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224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是否落实专利实施的强制许可制度？*</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225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是否赋予科研人员职务科技成果所有权或长期使用权？*</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226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促进市场竞争公共服务质量</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政府采购公共服务质量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本地区推动远程开标、远程异地评标工作成效如何？</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县住房和城乡建设局、县水务局、县农业农村局、县交通运输局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227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本地区政府采购合同线上融资的笔数（笔）、同比增长率（%）和金额（万元）、同比增长率（%）（统计口径不包含招投标工程）。</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228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本地区能否线上签订合同，并且具有合同管理模块？*</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229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本地区政府采购门户网站是否允许供应商申请生态认证或标签？*</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230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本地区是否建立绿色供应商数据库、绿色产品数据库等并在线上发布？*</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231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（加分项）本地区创新经验做法，如推进政府采购脱贫地区农副产品工作成效、减免保证金等。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7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232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招标投标公共服务质量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推进“互联网＋监管”、智慧监管工作成效如何？（如加强电子招标投标信息的防伪溯源监督管理，防止招标投标电子文件伪造、篡改、破坏等风险发生；建立大数据监管机制，利用智能监测、大数据预警围标串标、弄虚作假行为等）</w:t>
            </w:r>
          </w:p>
        </w:tc>
        <w:tc>
          <w:tcPr>
            <w:tcW w:w="15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233</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促进市场竞争公共服务质量</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招标投标公共服务质量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本地区依法必须招标的工程建设项目是否采用全流程电子化交易？（从发布招标公告到签订合同）</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234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本地区是否推动远程开标、远程异地评标？工作成效如何？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235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本地区招投标交易系统电子证照及电子签章应用成效如何？（如加快与“粤企签”对接推动CA证书跨地区、跨平台互认等）。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236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本地区招投标交易平台是否与广东省统一公共资源交易平台（粤公平）对接？</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237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本地区招投标交易服务平台是否与信用信息平台实现对接和共享，为招标人、投标人查阅有关信用信息提供便利，实现招投标信用信息和其他信用信息的互认共享？</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238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本地区推行电子保函落实情况。（如招投标电子交易平台全面上线应用电子保函服务，实现电子保函在线办理、在线提交、在线核验、在线申请理赔等服务功能等）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239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本地区是否建立绿色供应商数据库、绿色产品数据库等并在线上发布？*</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240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（加分项）本地区创新经验做法，如建立银行担保机构和保险机构间的招标投标市场主体履约信用信息共享机制。</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县住房和城乡建设局 、县发展改革局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241</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促进市场竞争公共服务质量</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市场监管公共服务质量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本地区开展或应用上级信用分级分类监管的领域（个）。</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242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本地区在行政管理和政务服务过程中应用信用报告的领域（个）。</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243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本地区在加强重点领域政务诚信建设方面的落实成效如何？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244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本地区在加强公平竞争政策宣传，促进公平竞争合规方面的落实情况？*</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245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知识产权公共服务质量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（加分项）本地区创新经验做法，如高价值专利培育、知识产权交易、知识产权价值评估等。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246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促进市场竞争便利度</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政府采购</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本地区政府采购合同金额100万元至200万元的货物采购项目，从中标（成交）通知书发出之日至签订合同的平均时长（自然日）。</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247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本地区政府采购合同金额200万元以内的货物采购项目，采购人收到发票后支付首付款的平均时长（工作日）。*</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248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249</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促进市场竞争便利度</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招标投标</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本地区合同金额在1000万元以内的工程招投标项目，从中标（成交）通知书发出之日至签订合同的平均时长（自然日）。*</w:t>
            </w:r>
          </w:p>
        </w:tc>
        <w:tc>
          <w:tcPr>
            <w:tcW w:w="15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250</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促进市场竞争便利度</w:t>
            </w:r>
          </w:p>
        </w:tc>
        <w:tc>
          <w:tcPr>
            <w:tcW w:w="13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招标投标</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本地区合同金额在1000万元以内的工程招投标项目，</w:t>
            </w:r>
            <w:r>
              <w:rPr>
                <w:rFonts w:hint="eastAsia" w:ascii="Nimbus Roman No9 L" w:hAnsi="Nimbus Roman No9 L" w:eastAsia="方正仿宋简体" w:cs="Nimbus Roman No9 L"/>
                <w:spacing w:val="-6"/>
                <w:sz w:val="21"/>
                <w:szCs w:val="21"/>
                <w:lang w:val="en-US" w:eastAsia="zh-CN"/>
              </w:rPr>
              <w:t>招标人收到发票后支付首付款的平均时长（工作日）。*</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县住房城乡</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建设局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县住房和城乡建设局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251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13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（加分项）本地区创新经验做法，如鼓励减免企业保证金、“信用+承诺”免缴投标保证金。</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县住房和城乡建设局、县发展改革局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252</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企业破产</w:t>
            </w: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企业破产制度</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规范化建设</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是否建立“执转破”工作机制（如制定执行法院的决定移送工作、破产法院的审查立案、管理人工作的操作指引，对“执转破”案件进行考核激励等）？法院执行案件移送后正式立“破申”案件数量是多少？</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253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是否通过简化程序对不可存续的中小企业进行简易清算和对可存续的中小企业进行重整？</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254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是否建立常态化预重整识别机制和全流程破产和解机制，积极开展企业破产前调解，鼓励债权人与债务人通过协商方式化解债务风险？</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255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是否建立和完善与破产程序相衔接的金融服务工作机制，从财产接管、资产处置、重整融资、信用修复等方面提升金融服务信息化、规范化水平？</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pStyle w:val="2"/>
              <w:jc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县政府办公室（县金融局）、县法院、县发展改革局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256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在解决破产全流程涉及的税收难点、堵点问题方面有哪些工作举措？（如优化涉税查询、征缴及其他涉税事项办理，涉税财产权益保障等）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257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是否建立破产财产快速查控、解封、处置制度，并实质性运作？</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258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是否允许破产企业的相关权利人推荐破产管理人，并由法院指定？</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县法院、县司法局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259</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企业破产</w:t>
            </w: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办理企业破产</w:t>
            </w:r>
          </w:p>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公共服务质量</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是否有专门处理破产案件的合议庭、破产审判庭或破产法庭，以及是否将所有破产案件分配给该合议庭、破产审判庭或法庭？</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260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是否向裁决破产案件的法官提供关于破产程序的系统性专门培训？</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261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是否搭建智慧破产审判管理系统并得到有效运用？</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262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是否建立企业破产处置府院联动机制、推动设置破产管理行政部门，工作效果如何？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县法院、县科工商务局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263</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是否建立破产管理人履职保障体系？（如建立破产管理人依法履职全流程保障制度，破产信息“一网”“一窗”通查，推出企业破产信息查询“一件事”等）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7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264</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是否建立破产信息共享公示和信用修复制度？（如明确破产信息来源和归集的责任主体、具体公示信息类型、信息共享公示的基本流程，申请信用修复时间节点、申请平台和方式等，推出信用修复“一件事”等）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县法院、县发展改革局、县政务服务数据管理局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265</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是否设立破产费用保障资金，制定使用办法？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266</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是否对管理人开展系统地培训、监督和考核？</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5"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267</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在加强破产文化建设方面，是否运用广播、电视、网络、微信、短视频等手段，通过发布破产审判白皮书、典型案例等方式，引导社会公众正确认识破产制度？</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268</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（加分项）本地区创新经验做法，如破产审判信息化建设、破产信息共享、防范恶意逃废债等。</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县法院、县税务局、县政务服务数据管理局、县政府办公室（县金融局）、县发展改革局、县司法局、县科工商务局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269</w:t>
            </w:r>
          </w:p>
        </w:tc>
        <w:tc>
          <w:tcPr>
            <w:tcW w:w="74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政务服务</w:t>
            </w:r>
          </w:p>
        </w:tc>
        <w:tc>
          <w:tcPr>
            <w:tcW w:w="2640" w:type="dxa"/>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政策服务便利度</w:t>
            </w: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政务服务中心是否设置惠企政策兑现窗口?</w:t>
            </w:r>
          </w:p>
        </w:tc>
        <w:tc>
          <w:tcPr>
            <w:tcW w:w="15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 县政务服务数据管理局</w:t>
            </w: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县政务服务数据管理局、县财政局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270</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pacing w:val="-6"/>
                <w:sz w:val="21"/>
                <w:szCs w:val="21"/>
                <w:lang w:val="en-US" w:eastAsia="zh-CN"/>
              </w:rPr>
              <w:t>是否运用大数据等技术实现向企业精准推送惠企政策？</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 xml:space="preserve"> 县政务服务数据管理局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271</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本地区政策兑现工作推进情况如何？包括：政策兑现服务系统建设，通过粤财扶助、粤商通等省或市系统上线的政策兑现事项数量、2022年通过系统实现政策兑现的金额。</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县政务服务数据管理局、县财政局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272</w:t>
            </w:r>
          </w:p>
        </w:tc>
        <w:tc>
          <w:tcPr>
            <w:tcW w:w="745"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2640" w:type="dxa"/>
            <w:gridSpan w:val="2"/>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4995" w:type="dxa"/>
            <w:tcBorders>
              <w:tl2br w:val="nil"/>
              <w:tr2bl w:val="nil"/>
            </w:tcBorders>
            <w:shd w:val="clear" w:color="auto" w:fill="auto"/>
            <w:vAlign w:val="center"/>
          </w:tcPr>
          <w:p>
            <w:pPr>
              <w:keepNext w:val="0"/>
              <w:keepLines w:val="0"/>
              <w:widowControl/>
              <w:suppressLineNumbers w:val="0"/>
              <w:jc w:val="both"/>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（加分项）本地区创新经验做法。</w:t>
            </w:r>
          </w:p>
        </w:tc>
        <w:tc>
          <w:tcPr>
            <w:tcW w:w="15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p>
        </w:tc>
        <w:tc>
          <w:tcPr>
            <w:tcW w:w="33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Nimbus Roman No9 L" w:hAnsi="Nimbus Roman No9 L" w:eastAsia="方正仿宋简体" w:cs="Nimbus Roman No9 L"/>
                <w:sz w:val="21"/>
                <w:szCs w:val="21"/>
                <w:lang w:val="en-US" w:eastAsia="zh-CN"/>
              </w:rPr>
            </w:pPr>
            <w:r>
              <w:rPr>
                <w:rFonts w:hint="eastAsia" w:ascii="Nimbus Roman No9 L" w:hAnsi="Nimbus Roman No9 L" w:eastAsia="方正仿宋简体" w:cs="Nimbus Roman No9 L"/>
                <w:sz w:val="21"/>
                <w:szCs w:val="21"/>
                <w:lang w:val="en-US" w:eastAsia="zh-CN"/>
              </w:rPr>
              <w:t>县政务服务数据管理局、县财政局</w:t>
            </w:r>
          </w:p>
        </w:tc>
      </w:tr>
    </w:tbl>
    <w:p>
      <w:pPr>
        <w:pStyle w:val="2"/>
        <w:ind w:firstLine="480" w:firstLineChars="200"/>
        <w:rPr>
          <w:rFonts w:hint="default" w:ascii="Nimbus Roman No9 L" w:hAnsi="Nimbus Roman No9 L" w:eastAsia="方正仿宋简体" w:cs="Nimbus Roman No9 L"/>
          <w:kern w:val="2"/>
          <w:sz w:val="24"/>
          <w:szCs w:val="24"/>
          <w:lang w:val="en-US" w:eastAsia="zh-CN" w:bidi="ar-SA"/>
        </w:rPr>
      </w:pPr>
      <w:r>
        <w:rPr>
          <w:rFonts w:hint="default" w:ascii="Nimbus Roman No9 L" w:hAnsi="Nimbus Roman No9 L" w:eastAsia="方正仿宋简体" w:cs="Nimbus Roman No9 L"/>
          <w:kern w:val="2"/>
          <w:sz w:val="24"/>
          <w:szCs w:val="24"/>
          <w:lang w:val="en-US" w:eastAsia="zh-CN" w:bidi="ar-SA"/>
        </w:rPr>
        <w:t>注：标记</w:t>
      </w:r>
      <w:r>
        <w:rPr>
          <w:rFonts w:hint="eastAsia" w:ascii="Nimbus Roman No9 L" w:hAnsi="Nimbus Roman No9 L" w:eastAsia="方正仿宋简体" w:cs="Nimbus Roman No9 L"/>
          <w:kern w:val="2"/>
          <w:sz w:val="24"/>
          <w:szCs w:val="24"/>
          <w:lang w:val="en-US" w:eastAsia="zh-CN" w:bidi="ar-SA"/>
        </w:rPr>
        <w:t>“</w:t>
      </w:r>
      <w:r>
        <w:rPr>
          <w:rFonts w:hint="default" w:ascii="Nimbus Roman No9 L" w:hAnsi="Nimbus Roman No9 L" w:eastAsia="方正仿宋简体" w:cs="Nimbus Roman No9 L"/>
          <w:kern w:val="2"/>
          <w:sz w:val="24"/>
          <w:szCs w:val="24"/>
          <w:lang w:val="en-US" w:eastAsia="zh-CN" w:bidi="ar-SA"/>
        </w:rPr>
        <w:t>*</w:t>
      </w:r>
      <w:r>
        <w:rPr>
          <w:rFonts w:hint="eastAsia" w:ascii="Nimbus Roman No9 L" w:hAnsi="Nimbus Roman No9 L" w:eastAsia="方正仿宋简体" w:cs="Nimbus Roman No9 L"/>
          <w:kern w:val="2"/>
          <w:sz w:val="24"/>
          <w:szCs w:val="24"/>
          <w:lang w:val="en-US" w:eastAsia="zh-CN" w:bidi="ar-SA"/>
        </w:rPr>
        <w:t>”</w:t>
      </w:r>
      <w:r>
        <w:rPr>
          <w:rFonts w:hint="default" w:ascii="Nimbus Roman No9 L" w:hAnsi="Nimbus Roman No9 L" w:eastAsia="方正仿宋简体" w:cs="Nimbus Roman No9 L"/>
          <w:kern w:val="2"/>
          <w:sz w:val="24"/>
          <w:szCs w:val="24"/>
          <w:lang w:val="en-US" w:eastAsia="zh-CN" w:bidi="ar-SA"/>
        </w:rPr>
        <w:t>的指标为观察指标，不计分。</w:t>
      </w:r>
    </w:p>
    <w:bookmarkEnd w:id="0"/>
    <w:p>
      <w:pPr>
        <w:rPr>
          <w:rFonts w:hint="default" w:ascii="Nimbus Roman No9 L" w:hAnsi="Nimbus Roman No9 L" w:eastAsia="方正仿宋简体" w:cs="Nimbus Roman No9 L"/>
          <w:kern w:val="2"/>
          <w:sz w:val="24"/>
          <w:szCs w:val="24"/>
          <w:lang w:val="en-US" w:eastAsia="zh-CN" w:bidi="ar-SA"/>
        </w:rPr>
      </w:pPr>
    </w:p>
    <w:p>
      <w:pPr>
        <w:pStyle w:val="2"/>
        <w:rPr>
          <w:rFonts w:hint="default" w:ascii="Nimbus Roman No9 L" w:hAnsi="Nimbus Roman No9 L" w:eastAsia="方正仿宋简体" w:cs="Nimbus Roman No9 L"/>
          <w:kern w:val="2"/>
          <w:sz w:val="24"/>
          <w:szCs w:val="24"/>
          <w:lang w:val="en-US" w:eastAsia="zh-CN" w:bidi="ar-SA"/>
        </w:rPr>
      </w:pPr>
    </w:p>
    <w:p>
      <w:pPr>
        <w:rPr>
          <w:rFonts w:hint="default" w:ascii="Nimbus Roman No9 L" w:hAnsi="Nimbus Roman No9 L" w:eastAsia="方正仿宋简体" w:cs="Nimbus Roman No9 L"/>
          <w:kern w:val="2"/>
          <w:sz w:val="24"/>
          <w:szCs w:val="24"/>
          <w:lang w:val="en-US" w:eastAsia="zh-CN" w:bidi="ar-SA"/>
        </w:rPr>
      </w:pPr>
    </w:p>
    <w:p>
      <w:pPr>
        <w:pStyle w:val="2"/>
        <w:rPr>
          <w:rFonts w:hint="default" w:ascii="Nimbus Roman No9 L" w:hAnsi="Nimbus Roman No9 L" w:eastAsia="方正仿宋简体" w:cs="Nimbus Roman No9 L"/>
          <w:kern w:val="2"/>
          <w:sz w:val="24"/>
          <w:szCs w:val="24"/>
          <w:lang w:val="en-US" w:eastAsia="zh-CN" w:bidi="ar-SA"/>
        </w:rPr>
      </w:pPr>
    </w:p>
    <w:p>
      <w:pPr>
        <w:rPr>
          <w:rFonts w:hint="default" w:ascii="Nimbus Roman No9 L" w:hAnsi="Nimbus Roman No9 L" w:eastAsia="方正仿宋简体" w:cs="Nimbus Roman No9 L"/>
          <w:kern w:val="2"/>
          <w:sz w:val="24"/>
          <w:szCs w:val="24"/>
          <w:lang w:val="en-US" w:eastAsia="zh-CN" w:bidi="ar-SA"/>
        </w:rPr>
      </w:pPr>
    </w:p>
    <w:p>
      <w:pPr>
        <w:pStyle w:val="2"/>
        <w:rPr>
          <w:rFonts w:hint="default" w:ascii="Nimbus Roman No9 L" w:hAnsi="Nimbus Roman No9 L" w:eastAsia="方正仿宋简体" w:cs="Nimbus Roman No9 L"/>
          <w:kern w:val="2"/>
          <w:sz w:val="24"/>
          <w:szCs w:val="24"/>
          <w:lang w:val="en-US" w:eastAsia="zh-CN" w:bidi="ar-SA"/>
        </w:rPr>
      </w:pPr>
    </w:p>
    <w:p>
      <w:pPr>
        <w:rPr>
          <w:rFonts w:hint="default" w:ascii="Nimbus Roman No9 L" w:hAnsi="Nimbus Roman No9 L" w:eastAsia="方正仿宋简体" w:cs="Nimbus Roman No9 L"/>
          <w:kern w:val="2"/>
          <w:sz w:val="24"/>
          <w:szCs w:val="24"/>
          <w:lang w:val="en-US" w:eastAsia="zh-CN" w:bidi="ar-SA"/>
        </w:rPr>
      </w:pPr>
    </w:p>
    <w:p>
      <w:pPr>
        <w:pStyle w:val="2"/>
        <w:rPr>
          <w:rFonts w:hint="default" w:ascii="Nimbus Roman No9 L" w:hAnsi="Nimbus Roman No9 L" w:eastAsia="方正仿宋简体" w:cs="Nimbus Roman No9 L"/>
          <w:kern w:val="2"/>
          <w:sz w:val="24"/>
          <w:szCs w:val="24"/>
          <w:lang w:val="en-US" w:eastAsia="zh-CN" w:bidi="ar-SA"/>
        </w:rPr>
      </w:pPr>
    </w:p>
    <w:p>
      <w:pPr>
        <w:rPr>
          <w:rFonts w:hint="default" w:ascii="Nimbus Roman No9 L" w:hAnsi="Nimbus Roman No9 L" w:eastAsia="方正仿宋简体" w:cs="Nimbus Roman No9 L"/>
          <w:kern w:val="2"/>
          <w:sz w:val="24"/>
          <w:szCs w:val="24"/>
          <w:lang w:val="en-US" w:eastAsia="zh-CN" w:bidi="ar-SA"/>
        </w:rPr>
      </w:pPr>
    </w:p>
    <w:p>
      <w:pPr>
        <w:pStyle w:val="2"/>
        <w:rPr>
          <w:rFonts w:hint="default" w:ascii="Nimbus Roman No9 L" w:hAnsi="Nimbus Roman No9 L" w:eastAsia="方正仿宋简体" w:cs="Nimbus Roman No9 L"/>
          <w:kern w:val="2"/>
          <w:sz w:val="24"/>
          <w:szCs w:val="24"/>
          <w:lang w:val="en-US" w:eastAsia="zh-CN" w:bidi="ar-SA"/>
        </w:rPr>
      </w:pPr>
    </w:p>
    <w:p>
      <w:pPr>
        <w:rPr>
          <w:rFonts w:hint="default" w:ascii="Nimbus Roman No9 L" w:hAnsi="Nimbus Roman No9 L" w:eastAsia="方正仿宋简体" w:cs="Nimbus Roman No9 L"/>
          <w:kern w:val="2"/>
          <w:sz w:val="24"/>
          <w:szCs w:val="24"/>
          <w:lang w:val="en-US" w:eastAsia="zh-CN" w:bidi="ar-SA"/>
        </w:rPr>
      </w:pPr>
    </w:p>
    <w:p>
      <w:pPr>
        <w:pStyle w:val="2"/>
        <w:rPr>
          <w:rFonts w:hint="default" w:ascii="Nimbus Roman No9 L" w:hAnsi="Nimbus Roman No9 L" w:eastAsia="方正仿宋简体" w:cs="Nimbus Roman No9 L"/>
          <w:kern w:val="2"/>
          <w:sz w:val="24"/>
          <w:szCs w:val="24"/>
          <w:lang w:val="en-US" w:eastAsia="zh-CN" w:bidi="ar-SA"/>
        </w:rPr>
      </w:pPr>
    </w:p>
    <w:p>
      <w:pPr>
        <w:rPr>
          <w:rFonts w:hint="default" w:ascii="Nimbus Roman No9 L" w:hAnsi="Nimbus Roman No9 L" w:eastAsia="方正仿宋简体" w:cs="Nimbus Roman No9 L"/>
          <w:kern w:val="2"/>
          <w:sz w:val="24"/>
          <w:szCs w:val="24"/>
          <w:lang w:val="en-US" w:eastAsia="zh-CN" w:bidi="ar-SA"/>
        </w:rPr>
      </w:pPr>
    </w:p>
    <w:p>
      <w:pPr>
        <w:pStyle w:val="2"/>
        <w:rPr>
          <w:rFonts w:hint="default" w:ascii="Nimbus Roman No9 L" w:hAnsi="Nimbus Roman No9 L" w:eastAsia="方正仿宋简体" w:cs="Nimbus Roman No9 L"/>
          <w:kern w:val="2"/>
          <w:sz w:val="24"/>
          <w:szCs w:val="24"/>
          <w:lang w:val="en-US" w:eastAsia="zh-CN" w:bidi="ar-SA"/>
        </w:rPr>
      </w:pPr>
    </w:p>
    <w:p>
      <w:pPr>
        <w:rPr>
          <w:rFonts w:hint="default" w:ascii="Nimbus Roman No9 L" w:hAnsi="Nimbus Roman No9 L" w:eastAsia="方正仿宋简体" w:cs="Nimbus Roman No9 L"/>
          <w:kern w:val="2"/>
          <w:sz w:val="24"/>
          <w:szCs w:val="24"/>
          <w:lang w:val="en-US" w:eastAsia="zh-CN" w:bidi="ar-SA"/>
        </w:rPr>
      </w:pPr>
    </w:p>
    <w:p>
      <w:pPr>
        <w:pStyle w:val="2"/>
        <w:rPr>
          <w:rFonts w:hint="default" w:ascii="Nimbus Roman No9 L" w:hAnsi="Nimbus Roman No9 L" w:eastAsia="方正仿宋简体" w:cs="Nimbus Roman No9 L"/>
          <w:kern w:val="2"/>
          <w:sz w:val="24"/>
          <w:szCs w:val="24"/>
          <w:lang w:val="en-US" w:eastAsia="zh-CN" w:bidi="ar-SA"/>
        </w:rPr>
      </w:pPr>
    </w:p>
    <w:p>
      <w:pPr>
        <w:rPr>
          <w:rFonts w:hint="default"/>
          <w:lang w:val="en-US" w:eastAsia="zh-CN"/>
        </w:rPr>
        <w:sectPr>
          <w:footerReference r:id="rId3" w:type="default"/>
          <w:pgSz w:w="16783" w:h="11850" w:orient="landscape"/>
          <w:pgMar w:top="1531" w:right="1531" w:bottom="1531" w:left="1531"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2"/>
        <w:rPr>
          <w:rFonts w:hint="default" w:ascii="Nimbus Roman No9 L" w:hAnsi="Nimbus Roman No9 L" w:eastAsia="方正仿宋简体" w:cs="Nimbus Roman No9 L"/>
          <w:kern w:val="2"/>
          <w:sz w:val="32"/>
          <w:szCs w:val="32"/>
          <w:lang w:val="en-US" w:eastAsia="zh-CN" w:bidi="ar-SA"/>
        </w:rPr>
      </w:pPr>
    </w:p>
    <w:p>
      <w:pPr>
        <w:rPr>
          <w:rFonts w:hint="default" w:ascii="Nimbus Roman No9 L" w:hAnsi="Nimbus Roman No9 L" w:eastAsia="方正仿宋简体" w:cs="Nimbus Roman No9 L"/>
          <w:kern w:val="2"/>
          <w:sz w:val="32"/>
          <w:szCs w:val="32"/>
          <w:lang w:val="en-US" w:eastAsia="zh-CN" w:bidi="ar-SA"/>
        </w:rPr>
      </w:pPr>
    </w:p>
    <w:p>
      <w:pPr>
        <w:pStyle w:val="2"/>
        <w:rPr>
          <w:rFonts w:hint="default" w:ascii="Nimbus Roman No9 L" w:hAnsi="Nimbus Roman No9 L" w:eastAsia="方正仿宋简体" w:cs="Nimbus Roman No9 L"/>
          <w:kern w:val="2"/>
          <w:sz w:val="32"/>
          <w:szCs w:val="32"/>
          <w:lang w:val="en-US" w:eastAsia="zh-CN" w:bidi="ar-SA"/>
        </w:rPr>
      </w:pPr>
    </w:p>
    <w:p>
      <w:pPr>
        <w:rPr>
          <w:rFonts w:hint="default" w:ascii="Nimbus Roman No9 L" w:hAnsi="Nimbus Roman No9 L" w:eastAsia="方正仿宋简体" w:cs="Nimbus Roman No9 L"/>
          <w:kern w:val="2"/>
          <w:sz w:val="32"/>
          <w:szCs w:val="32"/>
          <w:lang w:val="en-US" w:eastAsia="zh-CN" w:bidi="ar-SA"/>
        </w:rPr>
      </w:pPr>
    </w:p>
    <w:p>
      <w:pPr>
        <w:pStyle w:val="2"/>
        <w:rPr>
          <w:rFonts w:hint="default" w:ascii="Nimbus Roman No9 L" w:hAnsi="Nimbus Roman No9 L" w:eastAsia="方正仿宋简体" w:cs="Nimbus Roman No9 L"/>
          <w:kern w:val="2"/>
          <w:sz w:val="32"/>
          <w:szCs w:val="32"/>
          <w:lang w:val="en-US" w:eastAsia="zh-CN" w:bidi="ar-SA"/>
        </w:rPr>
      </w:pPr>
    </w:p>
    <w:p>
      <w:pPr>
        <w:rPr>
          <w:rFonts w:hint="default" w:ascii="Nimbus Roman No9 L" w:hAnsi="Nimbus Roman No9 L" w:eastAsia="方正仿宋简体" w:cs="Nimbus Roman No9 L"/>
          <w:kern w:val="2"/>
          <w:sz w:val="32"/>
          <w:szCs w:val="32"/>
          <w:lang w:val="en-US" w:eastAsia="zh-CN" w:bidi="ar-SA"/>
        </w:rPr>
      </w:pPr>
    </w:p>
    <w:p>
      <w:pPr>
        <w:pStyle w:val="2"/>
        <w:rPr>
          <w:rFonts w:hint="default" w:ascii="Nimbus Roman No9 L" w:hAnsi="Nimbus Roman No9 L" w:eastAsia="方正仿宋简体" w:cs="Nimbus Roman No9 L"/>
          <w:kern w:val="2"/>
          <w:sz w:val="32"/>
          <w:szCs w:val="32"/>
          <w:lang w:val="en-US" w:eastAsia="zh-CN" w:bidi="ar-SA"/>
        </w:rPr>
      </w:pPr>
    </w:p>
    <w:p>
      <w:pPr>
        <w:rPr>
          <w:rFonts w:hint="default" w:ascii="Nimbus Roman No9 L" w:hAnsi="Nimbus Roman No9 L" w:eastAsia="方正仿宋简体" w:cs="Nimbus Roman No9 L"/>
          <w:kern w:val="2"/>
          <w:sz w:val="32"/>
          <w:szCs w:val="32"/>
          <w:lang w:val="en-US" w:eastAsia="zh-CN" w:bidi="ar-SA"/>
        </w:rPr>
      </w:pPr>
    </w:p>
    <w:p>
      <w:pPr>
        <w:pStyle w:val="2"/>
        <w:rPr>
          <w:rFonts w:hint="default" w:ascii="Nimbus Roman No9 L" w:hAnsi="Nimbus Roman No9 L" w:eastAsia="方正仿宋简体" w:cs="Nimbus Roman No9 L"/>
          <w:kern w:val="2"/>
          <w:sz w:val="32"/>
          <w:szCs w:val="32"/>
          <w:lang w:val="en-US" w:eastAsia="zh-CN" w:bidi="ar-SA"/>
        </w:rPr>
      </w:pPr>
    </w:p>
    <w:p>
      <w:pPr>
        <w:rPr>
          <w:rFonts w:hint="default" w:ascii="Nimbus Roman No9 L" w:hAnsi="Nimbus Roman No9 L" w:eastAsia="方正仿宋简体" w:cs="Nimbus Roman No9 L"/>
          <w:kern w:val="2"/>
          <w:sz w:val="32"/>
          <w:szCs w:val="32"/>
          <w:lang w:val="en-US" w:eastAsia="zh-CN" w:bidi="ar-SA"/>
        </w:rPr>
      </w:pPr>
    </w:p>
    <w:p>
      <w:pPr>
        <w:pStyle w:val="2"/>
        <w:rPr>
          <w:rFonts w:hint="default" w:ascii="Nimbus Roman No9 L" w:hAnsi="Nimbus Roman No9 L" w:eastAsia="方正仿宋简体" w:cs="Nimbus Roman No9 L"/>
          <w:kern w:val="2"/>
          <w:sz w:val="32"/>
          <w:szCs w:val="32"/>
          <w:lang w:val="en-US" w:eastAsia="zh-CN" w:bidi="ar-SA"/>
        </w:rPr>
      </w:pPr>
    </w:p>
    <w:p>
      <w:pPr>
        <w:rPr>
          <w:rFonts w:hint="default" w:ascii="Nimbus Roman No9 L" w:hAnsi="Nimbus Roman No9 L" w:eastAsia="方正仿宋简体" w:cs="Nimbus Roman No9 L"/>
          <w:kern w:val="2"/>
          <w:sz w:val="32"/>
          <w:szCs w:val="32"/>
          <w:lang w:val="en-US" w:eastAsia="zh-CN" w:bidi="ar-SA"/>
        </w:rPr>
      </w:pPr>
    </w:p>
    <w:p>
      <w:pPr>
        <w:pStyle w:val="2"/>
        <w:rPr>
          <w:rFonts w:hint="default" w:ascii="Nimbus Roman No9 L" w:hAnsi="Nimbus Roman No9 L" w:eastAsia="方正仿宋简体" w:cs="Nimbus Roman No9 L"/>
          <w:kern w:val="2"/>
          <w:sz w:val="32"/>
          <w:szCs w:val="32"/>
          <w:lang w:val="en-US" w:eastAsia="zh-CN" w:bidi="ar-SA"/>
        </w:rPr>
      </w:pPr>
    </w:p>
    <w:p>
      <w:pPr>
        <w:rPr>
          <w:rFonts w:hint="default" w:ascii="Nimbus Roman No9 L" w:hAnsi="Nimbus Roman No9 L" w:eastAsia="方正仿宋简体" w:cs="Nimbus Roman No9 L"/>
          <w:kern w:val="2"/>
          <w:sz w:val="32"/>
          <w:szCs w:val="32"/>
          <w:lang w:val="en-US" w:eastAsia="zh-CN" w:bidi="ar-SA"/>
        </w:rPr>
      </w:pPr>
    </w:p>
    <w:p>
      <w:pPr>
        <w:rPr>
          <w:rFonts w:hint="default"/>
          <w:lang w:val="en-US" w:eastAsia="zh-CN"/>
        </w:rPr>
      </w:pPr>
    </w:p>
    <w:p>
      <w:pPr>
        <w:pStyle w:val="2"/>
        <w:rPr>
          <w:rFonts w:hint="default" w:ascii="Nimbus Roman No9 L" w:hAnsi="Nimbus Roman No9 L" w:eastAsia="方正仿宋简体" w:cs="Nimbus Roman No9 L"/>
          <w:kern w:val="2"/>
          <w:sz w:val="32"/>
          <w:szCs w:val="32"/>
          <w:lang w:val="en-US" w:eastAsia="zh-CN" w:bidi="ar-SA"/>
        </w:rPr>
      </w:pPr>
    </w:p>
    <w:p>
      <w:pPr>
        <w:rPr>
          <w:rFonts w:hint="default" w:ascii="Nimbus Roman No9 L" w:hAnsi="Nimbus Roman No9 L" w:eastAsia="方正仿宋简体" w:cs="Nimbus Roman No9 L"/>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No9 L" w:hAnsi="Nimbus Roman No9 L" w:eastAsia="方正仿宋简体" w:cs="Nimbus Roman No9 L"/>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1"/>
        <w:rPr>
          <w:rFonts w:hint="eastAsia" w:ascii="Nimbus Roman No9 L" w:hAnsi="Nimbus Roman No9 L" w:eastAsia="方正仿宋简体" w:cs="Nimbus Roman No9 L"/>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outlineLvl w:val="1"/>
        <w:rPr>
          <w:rFonts w:hint="eastAsia" w:ascii="Nimbus Roman No9 L" w:hAnsi="Nimbus Roman No9 L" w:eastAsia="方正仿宋简体" w:cs="Nimbus Roman No9 L"/>
          <w:kern w:val="2"/>
          <w:sz w:val="32"/>
          <w:szCs w:val="32"/>
          <w:lang w:val="en-US" w:eastAsia="zh-CN" w:bidi="ar-SA"/>
        </w:rPr>
      </w:pPr>
    </w:p>
    <w:p>
      <w:pPr>
        <w:keepNext w:val="0"/>
        <w:keepLines w:val="0"/>
        <w:pageBreakBefore w:val="0"/>
        <w:widowControl w:val="0"/>
        <w:kinsoku/>
        <w:wordWrap/>
        <w:topLinePunct w:val="0"/>
        <w:autoSpaceDE/>
        <w:autoSpaceDN/>
        <w:bidi w:val="0"/>
        <w:adjustRightInd/>
        <w:snapToGrid/>
        <w:spacing w:line="560" w:lineRule="exact"/>
        <w:ind w:left="0" w:leftChars="0" w:firstLine="0" w:firstLineChars="0"/>
        <w:jc w:val="both"/>
        <w:textAlignment w:val="auto"/>
        <w:outlineLvl w:val="1"/>
        <w:rPr>
          <w:rFonts w:hint="eastAsia" w:ascii="Nimbus Roman No9 L" w:hAnsi="Nimbus Roman No9 L" w:eastAsia="方正仿宋简体" w:cs="Nimbus Roman No9 L"/>
          <w:color w:val="000000"/>
          <w:kern w:val="2"/>
          <w:sz w:val="32"/>
          <w:szCs w:val="32"/>
          <w:shd w:val="clear" w:color="auto" w:fill="FFFFFF"/>
          <w:lang w:val="en-US" w:eastAsia="zh-CN" w:bidi="ar-SA"/>
        </w:rPr>
      </w:pPr>
      <w:r>
        <w:rPr>
          <w:rFonts w:hint="eastAsia" w:ascii="方正黑体_GBK" w:hAnsi="方正黑体_GBK" w:eastAsia="方正黑体_GBK" w:cs="方正黑体_GBK"/>
          <w:color w:val="000000"/>
          <w:kern w:val="2"/>
          <w:sz w:val="32"/>
          <w:szCs w:val="32"/>
          <w:shd w:val="clear" w:color="auto" w:fill="FFFFFF"/>
          <w:lang w:val="en-US" w:eastAsia="zh-CN" w:bidi="ar-SA"/>
        </w:rPr>
        <w:t>公开方式：</w:t>
      </w:r>
      <w:r>
        <w:rPr>
          <w:rFonts w:hint="eastAsia" w:ascii="Nimbus Roman No9 L" w:hAnsi="Nimbus Roman No9 L" w:eastAsia="方正仿宋简体" w:cs="Nimbus Roman No9 L"/>
          <w:color w:val="000000"/>
          <w:kern w:val="2"/>
          <w:sz w:val="32"/>
          <w:szCs w:val="32"/>
          <w:shd w:val="clear" w:color="auto" w:fill="FFFFFF"/>
          <w:lang w:val="en-US" w:eastAsia="zh-CN" w:bidi="ar-SA"/>
        </w:rPr>
        <w:t>主动公开</w:t>
      </w:r>
    </w:p>
    <w:p>
      <w:pPr>
        <w:keepNext w:val="0"/>
        <w:keepLines w:val="0"/>
        <w:pageBreakBefore w:val="0"/>
        <w:widowControl w:val="0"/>
        <w:kinsoku/>
        <w:wordWrap/>
        <w:topLinePunct w:val="0"/>
        <w:autoSpaceDE/>
        <w:autoSpaceDN/>
        <w:bidi w:val="0"/>
        <w:adjustRightInd/>
        <w:snapToGrid/>
        <w:spacing w:line="560" w:lineRule="exact"/>
        <w:textAlignment w:val="auto"/>
        <w:rPr>
          <w:rFonts w:hint="eastAsia" w:ascii="Nimbus Roman No9 L" w:hAnsi="Nimbus Roman No9 L" w:eastAsia="方正仿宋简体" w:cs="Nimbus Roman No9 L"/>
          <w:color w:val="000000"/>
          <w:kern w:val="2"/>
          <w:sz w:val="32"/>
          <w:szCs w:val="32"/>
          <w:shd w:val="clear"/>
          <w:lang w:val="en-US" w:eastAsia="zh-CN" w:bidi="ar-SA"/>
        </w:rPr>
      </w:pPr>
    </w:p>
    <w:p>
      <w:pPr>
        <w:keepNext w:val="0"/>
        <w:keepLines w:val="0"/>
        <w:pageBreakBefore w:val="0"/>
        <w:widowControl w:val="0"/>
        <w:kinsoku/>
        <w:wordWrap/>
        <w:topLinePunct w:val="0"/>
        <w:autoSpaceDE/>
        <w:autoSpaceDN/>
        <w:bidi w:val="0"/>
        <w:adjustRightInd/>
        <w:snapToGrid/>
        <w:spacing w:line="560" w:lineRule="exact"/>
        <w:ind w:firstLine="280" w:firstLineChars="100"/>
        <w:textAlignment w:val="auto"/>
        <w:rPr>
          <w:rFonts w:hint="default"/>
          <w:lang w:val="en-US" w:eastAsia="zh-CN"/>
        </w:rPr>
      </w:pPr>
      <w:r>
        <w:rPr>
          <w:rFonts w:hint="eastAsia" w:ascii="Nimbus Roman No9 L" w:hAnsi="Nimbus Roman No9 L" w:eastAsia="方正仿宋_GBK" w:cs="Nimbus Roman No9 L"/>
          <w:color w:val="auto"/>
          <w:spacing w:val="0"/>
          <w:kern w:val="0"/>
          <w:sz w:val="28"/>
          <w:szCs w:val="28"/>
          <w:lang w:val="en-US" w:eastAsia="zh-CN" w:bidi="ar-SA"/>
        </w:rPr>
        <w:t>抄送：县纪委监委、县委办、县人大办、县政协办。</w:t>
      </w:r>
    </w:p>
    <w:sectPr>
      <w:footerReference r:id="rId4" w:type="default"/>
      <w:pgSz w:w="11850" w:h="16783"/>
      <w:pgMar w:top="1531" w:right="1531" w:bottom="1531" w:left="1531"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00"/>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NjczODhhNjgxNzA4MjY4MDM5YWZkNmVlOWE2MWMifQ=="/>
  </w:docVars>
  <w:rsids>
    <w:rsidRoot w:val="00000000"/>
    <w:rsid w:val="03461D70"/>
    <w:rsid w:val="05F6352F"/>
    <w:rsid w:val="06534BB1"/>
    <w:rsid w:val="0DFF128D"/>
    <w:rsid w:val="0F6C4862"/>
    <w:rsid w:val="139B3968"/>
    <w:rsid w:val="16765F7F"/>
    <w:rsid w:val="16DF5C8F"/>
    <w:rsid w:val="16F50814"/>
    <w:rsid w:val="199C419B"/>
    <w:rsid w:val="1A7A543B"/>
    <w:rsid w:val="1AC27A2C"/>
    <w:rsid w:val="1CA669F4"/>
    <w:rsid w:val="23EBA7C1"/>
    <w:rsid w:val="24D806F0"/>
    <w:rsid w:val="26EC30E5"/>
    <w:rsid w:val="27910EB2"/>
    <w:rsid w:val="27ED736F"/>
    <w:rsid w:val="283528CC"/>
    <w:rsid w:val="2A36189D"/>
    <w:rsid w:val="2A8D5B28"/>
    <w:rsid w:val="2ADC7D85"/>
    <w:rsid w:val="2B2229E9"/>
    <w:rsid w:val="2B523093"/>
    <w:rsid w:val="340E22A5"/>
    <w:rsid w:val="34AE6BFF"/>
    <w:rsid w:val="3B68218F"/>
    <w:rsid w:val="3D404B2C"/>
    <w:rsid w:val="3D7031B1"/>
    <w:rsid w:val="3F7F0523"/>
    <w:rsid w:val="3F892743"/>
    <w:rsid w:val="415516A0"/>
    <w:rsid w:val="41626806"/>
    <w:rsid w:val="42A355DD"/>
    <w:rsid w:val="44EF5B94"/>
    <w:rsid w:val="466643F5"/>
    <w:rsid w:val="46D92B01"/>
    <w:rsid w:val="479F62C8"/>
    <w:rsid w:val="49113F14"/>
    <w:rsid w:val="49883A6B"/>
    <w:rsid w:val="4AE63D00"/>
    <w:rsid w:val="556B1152"/>
    <w:rsid w:val="568D446F"/>
    <w:rsid w:val="569A5936"/>
    <w:rsid w:val="56B41D80"/>
    <w:rsid w:val="56F42740"/>
    <w:rsid w:val="57787187"/>
    <w:rsid w:val="5953574C"/>
    <w:rsid w:val="5A7476F4"/>
    <w:rsid w:val="5A8B6F17"/>
    <w:rsid w:val="5CEE3073"/>
    <w:rsid w:val="5D737684"/>
    <w:rsid w:val="60491888"/>
    <w:rsid w:val="635D4FAC"/>
    <w:rsid w:val="65DF45BB"/>
    <w:rsid w:val="67281F92"/>
    <w:rsid w:val="675D66C9"/>
    <w:rsid w:val="67FE28C9"/>
    <w:rsid w:val="694E5AB8"/>
    <w:rsid w:val="6BF68EF2"/>
    <w:rsid w:val="6E5A0C83"/>
    <w:rsid w:val="6F2E6669"/>
    <w:rsid w:val="6FEF5E3D"/>
    <w:rsid w:val="70B0478A"/>
    <w:rsid w:val="72D55E28"/>
    <w:rsid w:val="739A6D20"/>
    <w:rsid w:val="75E33D48"/>
    <w:rsid w:val="77305172"/>
    <w:rsid w:val="77B37088"/>
    <w:rsid w:val="7ACB02FA"/>
    <w:rsid w:val="7B6076C5"/>
    <w:rsid w:val="7BA81C2B"/>
    <w:rsid w:val="7BD39D23"/>
    <w:rsid w:val="7DF754C2"/>
    <w:rsid w:val="7F7B5126"/>
    <w:rsid w:val="7FFE8DBA"/>
    <w:rsid w:val="9FEA51D4"/>
    <w:rsid w:val="B1D775AC"/>
    <w:rsid w:val="B3E6D29C"/>
    <w:rsid w:val="BF357B61"/>
    <w:rsid w:val="BF5BED3B"/>
    <w:rsid w:val="E1F77EBA"/>
    <w:rsid w:val="EBBE3C32"/>
    <w:rsid w:val="EEBF4939"/>
    <w:rsid w:val="EFE70A62"/>
    <w:rsid w:val="F79F97C7"/>
    <w:rsid w:val="FDF69E52"/>
    <w:rsid w:val="FF3F4F10"/>
    <w:rsid w:val="FFEF2CC3"/>
    <w:rsid w:val="FF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3">
    <w:name w:val="Body 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16104</Words>
  <Characters>16571</Characters>
  <Lines>0</Lines>
  <Paragraphs>0</Paragraphs>
  <TotalTime>5</TotalTime>
  <ScaleCrop>false</ScaleCrop>
  <LinksUpToDate>false</LinksUpToDate>
  <CharactersWithSpaces>16600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2023-06-11T00:55:00Z</dcterms:created>
  <dc:creator>Administrator</dc:creator>
  <cp:lastModifiedBy>飞鱼</cp:lastModifiedBy>
  <cp:lastPrinted>2023-06-27T18:55:00Z</cp:lastPrinted>
  <dcterms:modified xsi:type="dcterms:W3CDTF">2023-06-30T01:23:07Z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0124BB1CF90C4D85B4185667ECF605AA_13</vt:lpwstr>
  </property>
</Properties>
</file>