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A8" w:rsidRDefault="00CA18EA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3115A8" w:rsidRDefault="00CA18EA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>
        <w:rPr>
          <w:rFonts w:ascii="宋体" w:eastAsia="宋体" w:hAnsi="Times New Roman" w:cs="Calibri" w:hint="eastAsia"/>
          <w:kern w:val="0"/>
          <w:sz w:val="36"/>
          <w:szCs w:val="36"/>
        </w:rPr>
        <w:t>〔2024〕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第1期</w:t>
      </w:r>
    </w:p>
    <w:p w:rsidR="003115A8" w:rsidRDefault="00CA18EA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2024年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1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月30日</w:t>
      </w:r>
    </w:p>
    <w:p w:rsidR="003115A8" w:rsidRDefault="00CA18EA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 w:rsidR="003115A8" w:rsidRDefault="00CA18EA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3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年1～12月经济运行简讯</w:t>
      </w:r>
    </w:p>
    <w:p w:rsidR="003115A8" w:rsidRDefault="003115A8">
      <w:pPr>
        <w:spacing w:line="400" w:lineRule="exact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3115A8" w:rsidRDefault="00CA18EA">
      <w:pPr>
        <w:spacing w:line="572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2023</w:t>
      </w:r>
      <w:r>
        <w:rPr>
          <w:rFonts w:ascii="仿宋" w:eastAsia="仿宋" w:hAnsi="仿宋" w:cs="仿宋" w:hint="eastAsia"/>
          <w:sz w:val="32"/>
          <w:szCs w:val="40"/>
        </w:rPr>
        <w:t>年以来，全县锚定高质量发展首要任务，坚持稳中求进工作基调，</w:t>
      </w:r>
      <w:r w:rsidR="00D3710C">
        <w:rPr>
          <w:rFonts w:ascii="仿宋" w:eastAsia="仿宋" w:hAnsi="仿宋" w:hint="eastAsia"/>
          <w:sz w:val="32"/>
          <w:szCs w:val="32"/>
        </w:rPr>
        <w:t>着力推动我县经济高质量发展</w:t>
      </w:r>
      <w:r w:rsidR="00D3710C">
        <w:rPr>
          <w:rFonts w:ascii="仿宋" w:eastAsia="仿宋" w:hAnsi="仿宋" w:hint="eastAsia"/>
          <w:sz w:val="32"/>
          <w:szCs w:val="32"/>
        </w:rPr>
        <w:t>。1</w:t>
      </w:r>
      <w:r w:rsidR="00D3710C">
        <w:rPr>
          <w:rFonts w:ascii="仿宋" w:eastAsia="仿宋" w:hAnsi="仿宋"/>
          <w:sz w:val="32"/>
          <w:szCs w:val="32"/>
        </w:rPr>
        <w:t>-12</w:t>
      </w:r>
      <w:r w:rsidR="00D3710C">
        <w:rPr>
          <w:rFonts w:ascii="仿宋" w:eastAsia="仿宋" w:hAnsi="仿宋" w:hint="eastAsia"/>
          <w:sz w:val="32"/>
          <w:szCs w:val="32"/>
        </w:rPr>
        <w:t>月，</w:t>
      </w:r>
      <w:bookmarkStart w:id="0" w:name="_GoBack"/>
      <w:bookmarkEnd w:id="0"/>
      <w:r w:rsidR="00D3710C">
        <w:rPr>
          <w:rFonts w:ascii="仿宋" w:eastAsia="仿宋" w:hAnsi="仿宋" w:cs="仿宋" w:hint="eastAsia"/>
          <w:sz w:val="32"/>
          <w:szCs w:val="40"/>
        </w:rPr>
        <w:t>全县经济整体回升向好，</w:t>
      </w:r>
      <w:r>
        <w:rPr>
          <w:rFonts w:ascii="仿宋" w:eastAsia="仿宋" w:hAnsi="仿宋" w:cs="仿宋" w:hint="eastAsia"/>
          <w:sz w:val="32"/>
          <w:szCs w:val="40"/>
        </w:rPr>
        <w:t>农业生产形势稳定，工业生产增长加快，固定资产投资稳步回升，市场消费恢复较好，金融运行平稳，全年经济发展预期目标圆满实现。</w:t>
      </w:r>
    </w:p>
    <w:p w:rsidR="003115A8" w:rsidRDefault="00CA18EA">
      <w:pPr>
        <w:spacing w:line="572" w:lineRule="exact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根据梅州市地区生产总值统一核算结果，</w:t>
      </w:r>
      <w:r>
        <w:rPr>
          <w:rFonts w:ascii="仿宋" w:eastAsia="仿宋" w:hAnsi="仿宋" w:cs="仿宋"/>
          <w:sz w:val="32"/>
          <w:szCs w:val="40"/>
        </w:rPr>
        <w:t>2023</w:t>
      </w:r>
      <w:r>
        <w:rPr>
          <w:rFonts w:ascii="仿宋" w:eastAsia="仿宋" w:hAnsi="仿宋" w:cs="仿宋" w:hint="eastAsia"/>
          <w:sz w:val="32"/>
          <w:szCs w:val="40"/>
        </w:rPr>
        <w:t>年平远县地区生产总值为</w:t>
      </w:r>
      <w:r>
        <w:rPr>
          <w:rFonts w:ascii="仿宋" w:eastAsia="仿宋" w:hAnsi="仿宋" w:cs="仿宋"/>
          <w:sz w:val="32"/>
          <w:szCs w:val="40"/>
        </w:rPr>
        <w:t>93.72</w:t>
      </w:r>
      <w:r>
        <w:rPr>
          <w:rFonts w:ascii="仿宋" w:eastAsia="仿宋" w:hAnsi="仿宋" w:cs="仿宋" w:hint="eastAsia"/>
          <w:sz w:val="32"/>
          <w:szCs w:val="40"/>
        </w:rPr>
        <w:t>亿元，同比增长6.</w:t>
      </w:r>
      <w:r>
        <w:rPr>
          <w:rFonts w:ascii="仿宋" w:eastAsia="仿宋" w:hAnsi="仿宋" w:cs="仿宋"/>
          <w:sz w:val="32"/>
          <w:szCs w:val="40"/>
        </w:rPr>
        <w:t>6%</w:t>
      </w:r>
      <w:r>
        <w:rPr>
          <w:rFonts w:ascii="仿宋" w:eastAsia="仿宋" w:hAnsi="仿宋" w:cs="仿宋" w:hint="eastAsia"/>
          <w:sz w:val="32"/>
          <w:szCs w:val="40"/>
        </w:rPr>
        <w:t>。其中，第一产业增加值为</w:t>
      </w:r>
      <w:r>
        <w:rPr>
          <w:rFonts w:ascii="仿宋" w:eastAsia="仿宋" w:hAnsi="仿宋" w:cs="仿宋"/>
          <w:sz w:val="32"/>
          <w:szCs w:val="40"/>
        </w:rPr>
        <w:t>15.90</w:t>
      </w:r>
      <w:r>
        <w:rPr>
          <w:rFonts w:ascii="仿宋" w:eastAsia="仿宋" w:hAnsi="仿宋" w:cs="仿宋" w:hint="eastAsia"/>
          <w:sz w:val="32"/>
          <w:szCs w:val="40"/>
        </w:rPr>
        <w:t>亿元，同比增长</w:t>
      </w:r>
      <w:r>
        <w:rPr>
          <w:rFonts w:ascii="仿宋" w:eastAsia="仿宋" w:hAnsi="仿宋" w:cs="仿宋"/>
          <w:sz w:val="32"/>
          <w:szCs w:val="40"/>
        </w:rPr>
        <w:t>6.0%</w:t>
      </w:r>
      <w:r>
        <w:rPr>
          <w:rFonts w:ascii="仿宋" w:eastAsia="仿宋" w:hAnsi="仿宋" w:cs="仿宋" w:hint="eastAsia"/>
          <w:sz w:val="32"/>
          <w:szCs w:val="40"/>
        </w:rPr>
        <w:t>；第二产业增加值为</w:t>
      </w:r>
      <w:r>
        <w:rPr>
          <w:rFonts w:ascii="仿宋" w:eastAsia="仿宋" w:hAnsi="仿宋" w:cs="仿宋"/>
          <w:sz w:val="32"/>
          <w:szCs w:val="40"/>
        </w:rPr>
        <w:t>26.65</w:t>
      </w:r>
      <w:r>
        <w:rPr>
          <w:rFonts w:ascii="仿宋" w:eastAsia="仿宋" w:hAnsi="仿宋" w:cs="仿宋" w:hint="eastAsia"/>
          <w:sz w:val="32"/>
          <w:szCs w:val="40"/>
        </w:rPr>
        <w:t>亿元，同比增长</w:t>
      </w:r>
      <w:r>
        <w:rPr>
          <w:rFonts w:ascii="仿宋" w:eastAsia="仿宋" w:hAnsi="仿宋" w:cs="仿宋"/>
          <w:sz w:val="32"/>
          <w:szCs w:val="40"/>
        </w:rPr>
        <w:t>8.0%</w:t>
      </w:r>
      <w:r>
        <w:rPr>
          <w:rFonts w:ascii="仿宋" w:eastAsia="仿宋" w:hAnsi="仿宋" w:cs="仿宋" w:hint="eastAsia"/>
          <w:sz w:val="32"/>
          <w:szCs w:val="40"/>
        </w:rPr>
        <w:t>；第三产业增加值为</w:t>
      </w:r>
      <w:r>
        <w:rPr>
          <w:rFonts w:ascii="仿宋" w:eastAsia="仿宋" w:hAnsi="仿宋" w:cs="仿宋"/>
          <w:sz w:val="32"/>
          <w:szCs w:val="40"/>
        </w:rPr>
        <w:t>51.17</w:t>
      </w:r>
      <w:r>
        <w:rPr>
          <w:rFonts w:ascii="仿宋" w:eastAsia="仿宋" w:hAnsi="仿宋" w:cs="仿宋" w:hint="eastAsia"/>
          <w:sz w:val="32"/>
          <w:szCs w:val="40"/>
        </w:rPr>
        <w:t>亿元，同比增长</w:t>
      </w:r>
      <w:r>
        <w:rPr>
          <w:rFonts w:ascii="仿宋" w:eastAsia="仿宋" w:hAnsi="仿宋" w:cs="仿宋"/>
          <w:sz w:val="32"/>
          <w:szCs w:val="40"/>
        </w:rPr>
        <w:t>6.1%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EC0474" w:rsidRDefault="00CA18EA" w:rsidP="00EC0474">
      <w:pPr>
        <w:spacing w:line="572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一、农业生产保持稳定</w:t>
      </w:r>
      <w:r w:rsidR="004C1D98"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40"/>
        </w:rPr>
        <w:t>1</w:t>
      </w:r>
      <w:r>
        <w:rPr>
          <w:rFonts w:ascii="仿宋" w:eastAsia="仿宋" w:hAnsi="仿宋" w:cs="仿宋"/>
          <w:sz w:val="32"/>
          <w:szCs w:val="40"/>
        </w:rPr>
        <w:t>-</w:t>
      </w:r>
      <w:r>
        <w:rPr>
          <w:rFonts w:ascii="仿宋" w:eastAsia="仿宋" w:hAnsi="仿宋" w:cs="仿宋" w:hint="eastAsia"/>
          <w:sz w:val="32"/>
          <w:szCs w:val="40"/>
        </w:rPr>
        <w:t>12月，全县农林牧渔业总产值26.67亿元，同比增长6</w:t>
      </w:r>
      <w:r>
        <w:rPr>
          <w:rFonts w:ascii="仿宋" w:eastAsia="仿宋" w:hAnsi="仿宋" w:cs="仿宋"/>
          <w:sz w:val="32"/>
          <w:szCs w:val="40"/>
        </w:rPr>
        <w:t>.</w:t>
      </w:r>
      <w:r>
        <w:rPr>
          <w:rFonts w:ascii="仿宋" w:eastAsia="仿宋" w:hAnsi="仿宋" w:cs="仿宋" w:hint="eastAsia"/>
          <w:sz w:val="32"/>
          <w:szCs w:val="40"/>
        </w:rPr>
        <w:t>0</w:t>
      </w:r>
      <w:r>
        <w:rPr>
          <w:rFonts w:ascii="仿宋" w:eastAsia="仿宋" w:hAnsi="仿宋" w:cs="仿宋"/>
          <w:sz w:val="32"/>
          <w:szCs w:val="40"/>
        </w:rPr>
        <w:t>%</w:t>
      </w:r>
      <w:r>
        <w:rPr>
          <w:rFonts w:ascii="仿宋" w:eastAsia="仿宋" w:hAnsi="仿宋" w:cs="仿宋" w:hint="eastAsia"/>
          <w:sz w:val="32"/>
          <w:szCs w:val="40"/>
        </w:rPr>
        <w:t>。其中：农、林、牧、渔、辅助性活动产值分别增长3.9%、9.4%、11.8%、3.8%、8.8%。</w:t>
      </w:r>
      <w:r w:rsidR="00854E1D">
        <w:rPr>
          <w:rFonts w:ascii="仿宋" w:eastAsia="仿宋" w:hAnsi="仿宋" w:cs="仿宋" w:hint="eastAsia"/>
          <w:sz w:val="32"/>
          <w:szCs w:val="40"/>
        </w:rPr>
        <w:t>2</w:t>
      </w:r>
      <w:r w:rsidR="00854E1D">
        <w:rPr>
          <w:rFonts w:ascii="仿宋" w:eastAsia="仿宋" w:hAnsi="仿宋" w:cs="仿宋"/>
          <w:sz w:val="32"/>
          <w:szCs w:val="40"/>
        </w:rPr>
        <w:t>023</w:t>
      </w:r>
      <w:r w:rsidR="00854E1D">
        <w:rPr>
          <w:rFonts w:ascii="仿宋" w:eastAsia="仿宋" w:hAnsi="仿宋" w:cs="仿宋" w:hint="eastAsia"/>
          <w:sz w:val="32"/>
          <w:szCs w:val="40"/>
        </w:rPr>
        <w:t>年，</w:t>
      </w:r>
      <w:r w:rsidR="00854E1D" w:rsidRPr="00854E1D">
        <w:rPr>
          <w:rFonts w:ascii="仿宋" w:eastAsia="仿宋" w:hAnsi="仿宋" w:cs="仿宋" w:hint="eastAsia"/>
          <w:sz w:val="32"/>
          <w:szCs w:val="40"/>
        </w:rPr>
        <w:t>全县粮食作物播种面积</w:t>
      </w:r>
      <w:r w:rsidR="00854E1D" w:rsidRPr="00854E1D">
        <w:rPr>
          <w:rFonts w:ascii="仿宋" w:eastAsia="仿宋" w:hAnsi="仿宋" w:cs="仿宋"/>
          <w:sz w:val="32"/>
          <w:szCs w:val="40"/>
        </w:rPr>
        <w:t>23.76万亩，粮食产量8.73万吨</w:t>
      </w:r>
      <w:r w:rsidR="008E5FAA">
        <w:rPr>
          <w:rFonts w:ascii="仿宋" w:eastAsia="仿宋" w:hAnsi="仿宋" w:cs="仿宋" w:hint="eastAsia"/>
          <w:sz w:val="32"/>
          <w:szCs w:val="40"/>
        </w:rPr>
        <w:t>，增长8</w:t>
      </w:r>
      <w:r w:rsidR="008E5FAA">
        <w:rPr>
          <w:rFonts w:ascii="仿宋" w:eastAsia="仿宋" w:hAnsi="仿宋" w:cs="仿宋"/>
          <w:sz w:val="32"/>
          <w:szCs w:val="40"/>
        </w:rPr>
        <w:t>.05%</w:t>
      </w:r>
      <w:r w:rsidR="00854E1D" w:rsidRPr="00854E1D">
        <w:rPr>
          <w:rFonts w:ascii="仿宋" w:eastAsia="仿宋" w:hAnsi="仿宋" w:cs="仿宋"/>
          <w:sz w:val="32"/>
          <w:szCs w:val="40"/>
        </w:rPr>
        <w:t>。蔬菜产量增长5.27%，园林水果产量</w:t>
      </w:r>
      <w:r w:rsidR="00854E1D">
        <w:rPr>
          <w:rFonts w:ascii="仿宋" w:eastAsia="仿宋" w:hAnsi="仿宋" w:cs="仿宋" w:hint="eastAsia"/>
          <w:sz w:val="32"/>
          <w:szCs w:val="40"/>
        </w:rPr>
        <w:t>下降</w:t>
      </w:r>
      <w:r w:rsidR="00854E1D" w:rsidRPr="00854E1D">
        <w:rPr>
          <w:rFonts w:ascii="仿宋" w:eastAsia="仿宋" w:hAnsi="仿宋" w:cs="仿宋"/>
          <w:sz w:val="32"/>
          <w:szCs w:val="40"/>
        </w:rPr>
        <w:t>5.28%，茶叶产量增长13.12%，猪肉产量增长10.1%。全年生猪出栏14.09万头，增长7.9%</w:t>
      </w:r>
      <w:r w:rsidR="002B7479">
        <w:rPr>
          <w:rFonts w:ascii="仿宋" w:eastAsia="仿宋" w:hAnsi="仿宋" w:cs="仿宋" w:hint="eastAsia"/>
          <w:sz w:val="32"/>
          <w:szCs w:val="40"/>
        </w:rPr>
        <w:t>。</w:t>
      </w:r>
    </w:p>
    <w:p w:rsidR="003115A8" w:rsidRPr="00EC0474" w:rsidRDefault="00CA18EA" w:rsidP="00EC0474">
      <w:pPr>
        <w:spacing w:line="572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二、规模以上工业生产稳步回升。</w:t>
      </w:r>
      <w:r>
        <w:rPr>
          <w:rFonts w:ascii="仿宋" w:eastAsia="仿宋" w:hAnsi="仿宋" w:hint="eastAsia"/>
          <w:sz w:val="32"/>
          <w:szCs w:val="32"/>
        </w:rPr>
        <w:t>1-12月，全县规模以上工业总产值52.89亿元，同比增长14.6%。全县规模以上工业增加值</w:t>
      </w:r>
      <w:r>
        <w:rPr>
          <w:rFonts w:ascii="仿宋" w:eastAsia="仿宋" w:hAnsi="仿宋" w:hint="eastAsia"/>
          <w:sz w:val="32"/>
          <w:szCs w:val="32"/>
        </w:rPr>
        <w:lastRenderedPageBreak/>
        <w:t>11.08亿元，同比增长20.6%，增速比1-11月提高4.2个百分点。从三大门类看，采矿业增加值增长33.0%；制造业增加值增长20.2%；电力、燃气及水的生产和供应业增加值增长13.9%。从主要工业生产行业看，酒、饮料和精制茶制造业增加值增长1</w:t>
      </w:r>
      <w:r>
        <w:rPr>
          <w:rFonts w:ascii="仿宋" w:eastAsia="仿宋" w:hAnsi="仿宋"/>
          <w:sz w:val="32"/>
          <w:szCs w:val="32"/>
        </w:rPr>
        <w:t>13.7</w:t>
      </w:r>
      <w:r>
        <w:rPr>
          <w:rFonts w:ascii="仿宋" w:eastAsia="仿宋" w:hAnsi="仿宋" w:hint="eastAsia"/>
          <w:sz w:val="32"/>
          <w:szCs w:val="32"/>
        </w:rPr>
        <w:t>%；电气机械和器材制造业增加值增长</w:t>
      </w:r>
      <w:r>
        <w:rPr>
          <w:rFonts w:ascii="仿宋" w:eastAsia="仿宋" w:hAnsi="仿宋"/>
          <w:sz w:val="32"/>
          <w:szCs w:val="32"/>
        </w:rPr>
        <w:t>45.3</w:t>
      </w:r>
      <w:r>
        <w:rPr>
          <w:rFonts w:ascii="仿宋" w:eastAsia="仿宋" w:hAnsi="仿宋" w:hint="eastAsia"/>
          <w:sz w:val="32"/>
          <w:szCs w:val="32"/>
        </w:rPr>
        <w:t>%；计算机、通信和其他电子设备制造业增加值增长</w:t>
      </w:r>
      <w:r>
        <w:rPr>
          <w:rFonts w:ascii="仿宋" w:eastAsia="仿宋" w:hAnsi="仿宋"/>
          <w:sz w:val="32"/>
          <w:szCs w:val="32"/>
        </w:rPr>
        <w:t>81.7</w:t>
      </w:r>
      <w:r>
        <w:rPr>
          <w:rFonts w:ascii="仿宋" w:eastAsia="仿宋" w:hAnsi="仿宋" w:hint="eastAsia"/>
          <w:sz w:val="32"/>
          <w:szCs w:val="32"/>
        </w:rPr>
        <w:t>%；有色金属矿采选业增加值增长3</w:t>
      </w:r>
      <w:r>
        <w:rPr>
          <w:rFonts w:ascii="仿宋" w:eastAsia="仿宋" w:hAnsi="仿宋"/>
          <w:sz w:val="32"/>
          <w:szCs w:val="32"/>
        </w:rPr>
        <w:t>3.0</w:t>
      </w:r>
      <w:r>
        <w:rPr>
          <w:rFonts w:ascii="仿宋" w:eastAsia="仿宋" w:hAnsi="仿宋" w:hint="eastAsia"/>
          <w:sz w:val="32"/>
          <w:szCs w:val="32"/>
        </w:rPr>
        <w:t>%；</w:t>
      </w:r>
      <w:r w:rsidR="001761B8">
        <w:rPr>
          <w:rFonts w:ascii="仿宋" w:eastAsia="仿宋" w:hAnsi="仿宋" w:hint="eastAsia"/>
          <w:sz w:val="32"/>
          <w:szCs w:val="32"/>
        </w:rPr>
        <w:t>汽车制造业增加值下降93.7%；</w:t>
      </w:r>
      <w:r>
        <w:rPr>
          <w:rFonts w:ascii="仿宋" w:eastAsia="仿宋" w:hAnsi="仿宋" w:hint="eastAsia"/>
          <w:sz w:val="32"/>
          <w:szCs w:val="32"/>
        </w:rPr>
        <w:t>家具制造业增加值下降7</w:t>
      </w:r>
      <w:r>
        <w:rPr>
          <w:rFonts w:ascii="仿宋" w:eastAsia="仿宋" w:hAnsi="仿宋"/>
          <w:sz w:val="32"/>
          <w:szCs w:val="32"/>
        </w:rPr>
        <w:t>0.2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115A8" w:rsidRDefault="00CA18EA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三、固定资产投资</w:t>
      </w:r>
      <w:r w:rsidR="0069350C" w:rsidRPr="0069350C">
        <w:rPr>
          <w:rFonts w:ascii="仿宋" w:eastAsia="仿宋" w:hAnsi="仿宋" w:hint="eastAsia"/>
          <w:b/>
          <w:bCs/>
          <w:sz w:val="32"/>
          <w:szCs w:val="32"/>
        </w:rPr>
        <w:t>增势较好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1-12月，全县固定资产投资（不含农户）同比增长6.5%。从投资产业分布看，第一产业投资下降68.7%；第二产业投资增长13.6%；第三产业投资增长5.8%。从投资领域看，工业投资增长13.6%，其中技改投资下降37.4%；基础设施投资增长27.3%；房地产开发投资下降40.7%；商品房施工面积66.77万平方米，增长2.3%；商品房销售面积14.15万平方米，增长35.6%。商品房销售额6.54亿元，增长69.3%。12月末，商品房待售面积11.30万平方米，下降49.0%。</w:t>
      </w:r>
    </w:p>
    <w:p w:rsidR="003115A8" w:rsidRDefault="00CA18EA">
      <w:pPr>
        <w:spacing w:line="572" w:lineRule="exact"/>
        <w:ind w:leftChars="-50" w:left="-105" w:rightChars="-50" w:right="-105"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四、社会消费品零售总额保持增长。</w:t>
      </w:r>
      <w:r>
        <w:rPr>
          <w:rFonts w:ascii="仿宋" w:eastAsia="仿宋" w:hAnsi="仿宋" w:hint="eastAsia"/>
          <w:sz w:val="32"/>
          <w:szCs w:val="32"/>
        </w:rPr>
        <w:t>1-1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月，社会消费品零售总额</w:t>
      </w:r>
      <w:r>
        <w:rPr>
          <w:rFonts w:ascii="仿宋" w:eastAsia="仿宋" w:hAnsi="仿宋"/>
          <w:sz w:val="32"/>
          <w:szCs w:val="32"/>
        </w:rPr>
        <w:t>35.07</w:t>
      </w:r>
      <w:r>
        <w:rPr>
          <w:rFonts w:ascii="仿宋" w:eastAsia="仿宋" w:hAnsi="仿宋" w:hint="eastAsia"/>
          <w:sz w:val="32"/>
          <w:szCs w:val="32"/>
        </w:rPr>
        <w:t>亿元，同比增长</w:t>
      </w:r>
      <w:r>
        <w:rPr>
          <w:rFonts w:ascii="仿宋" w:eastAsia="仿宋" w:hAnsi="仿宋"/>
          <w:sz w:val="32"/>
          <w:szCs w:val="32"/>
        </w:rPr>
        <w:t>5.2</w:t>
      </w:r>
      <w:r>
        <w:rPr>
          <w:rFonts w:ascii="仿宋" w:eastAsia="仿宋" w:hAnsi="仿宋" w:hint="eastAsia"/>
          <w:sz w:val="32"/>
          <w:szCs w:val="32"/>
        </w:rPr>
        <w:t>%。按限上限下分，限额以上零售额1.</w:t>
      </w:r>
      <w:r>
        <w:rPr>
          <w:rFonts w:ascii="仿宋" w:eastAsia="仿宋" w:hAnsi="仿宋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亿元，下降</w:t>
      </w:r>
      <w:r>
        <w:rPr>
          <w:rFonts w:ascii="仿宋" w:eastAsia="仿宋" w:hAnsi="仿宋"/>
          <w:sz w:val="32"/>
          <w:szCs w:val="32"/>
        </w:rPr>
        <w:t>6.4</w:t>
      </w:r>
      <w:r>
        <w:rPr>
          <w:rFonts w:ascii="仿宋" w:eastAsia="仿宋" w:hAnsi="仿宋" w:hint="eastAsia"/>
          <w:sz w:val="32"/>
          <w:szCs w:val="32"/>
        </w:rPr>
        <w:t>%；限额以下零售额</w:t>
      </w:r>
      <w:r>
        <w:rPr>
          <w:rFonts w:ascii="仿宋" w:eastAsia="仿宋" w:hAnsi="仿宋"/>
          <w:sz w:val="32"/>
          <w:szCs w:val="32"/>
        </w:rPr>
        <w:t>33.55</w:t>
      </w:r>
      <w:r>
        <w:rPr>
          <w:rFonts w:ascii="仿宋" w:eastAsia="仿宋" w:hAnsi="仿宋" w:hint="eastAsia"/>
          <w:sz w:val="32"/>
          <w:szCs w:val="32"/>
        </w:rPr>
        <w:t>亿元，增长5.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%。按经营所在地分，城镇消费品零售额</w:t>
      </w:r>
      <w:r>
        <w:rPr>
          <w:rFonts w:ascii="仿宋" w:eastAsia="仿宋" w:hAnsi="仿宋"/>
          <w:sz w:val="32"/>
          <w:szCs w:val="32"/>
        </w:rPr>
        <w:t>21.51</w:t>
      </w:r>
      <w:r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/>
          <w:sz w:val="32"/>
          <w:szCs w:val="32"/>
        </w:rPr>
        <w:t>5.1</w:t>
      </w:r>
      <w:r>
        <w:rPr>
          <w:rFonts w:ascii="仿宋" w:eastAsia="仿宋" w:hAnsi="仿宋" w:hint="eastAsia"/>
          <w:sz w:val="32"/>
          <w:szCs w:val="32"/>
        </w:rPr>
        <w:t>%；乡村消费品零售额1</w:t>
      </w:r>
      <w:r>
        <w:rPr>
          <w:rFonts w:ascii="仿宋" w:eastAsia="仿宋" w:hAnsi="仿宋"/>
          <w:sz w:val="32"/>
          <w:szCs w:val="32"/>
        </w:rPr>
        <w:t>3.56</w:t>
      </w:r>
      <w:r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/>
          <w:sz w:val="32"/>
          <w:szCs w:val="32"/>
        </w:rPr>
        <w:t>5.5</w:t>
      </w:r>
      <w:r>
        <w:rPr>
          <w:rFonts w:ascii="仿宋" w:eastAsia="仿宋" w:hAnsi="仿宋" w:hint="eastAsia"/>
          <w:sz w:val="32"/>
          <w:szCs w:val="32"/>
        </w:rPr>
        <w:t>%。按消费类型分，商品零售</w:t>
      </w:r>
      <w:r>
        <w:rPr>
          <w:rFonts w:ascii="仿宋" w:eastAsia="仿宋" w:hAnsi="仿宋"/>
          <w:sz w:val="32"/>
          <w:szCs w:val="32"/>
        </w:rPr>
        <w:t>31.36</w:t>
      </w:r>
      <w:r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/>
          <w:sz w:val="32"/>
          <w:szCs w:val="32"/>
        </w:rPr>
        <w:t>5.3</w:t>
      </w:r>
      <w:r>
        <w:rPr>
          <w:rFonts w:ascii="仿宋" w:eastAsia="仿宋" w:hAnsi="仿宋" w:hint="eastAsia"/>
          <w:sz w:val="32"/>
          <w:szCs w:val="32"/>
        </w:rPr>
        <w:t>%；餐饮收入</w:t>
      </w:r>
      <w:r>
        <w:rPr>
          <w:rFonts w:ascii="仿宋" w:eastAsia="仿宋" w:hAnsi="仿宋"/>
          <w:sz w:val="32"/>
          <w:szCs w:val="32"/>
        </w:rPr>
        <w:t>3.7</w:t>
      </w:r>
      <w:r w:rsidR="00831A25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亿元，增长4.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3115A8" w:rsidRDefault="00CA18EA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五、一般公共预算收入稳步增长。</w:t>
      </w:r>
      <w:r>
        <w:rPr>
          <w:rFonts w:ascii="仿宋" w:eastAsia="仿宋" w:hAnsi="仿宋" w:hint="eastAsia"/>
          <w:sz w:val="32"/>
          <w:szCs w:val="32"/>
        </w:rPr>
        <w:t>1-12月，全县一般公共预算收入6.38亿元，同比增长19.4%，增速比1-11月提高11.5个百分点；一般公共预算支出29.1</w:t>
      </w:r>
      <w:r w:rsidR="00F048F0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亿元，同比下降7.9%。</w:t>
      </w:r>
    </w:p>
    <w:p w:rsidR="003115A8" w:rsidRDefault="00CA18EA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六、全社会用电量保持增长。</w:t>
      </w:r>
      <w:r>
        <w:rPr>
          <w:rFonts w:ascii="仿宋" w:eastAsia="仿宋" w:hAnsi="仿宋" w:hint="eastAsia"/>
          <w:sz w:val="32"/>
          <w:szCs w:val="32"/>
        </w:rPr>
        <w:t>1-12月，全社会用电量5.33亿千瓦时，同比增长11.8%。其中,工业用电量2.11亿千瓦时，增长17.2%。</w:t>
      </w:r>
    </w:p>
    <w:p w:rsidR="003115A8" w:rsidRDefault="00CA18EA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七、进出口总额保持增长。</w:t>
      </w:r>
      <w:r>
        <w:rPr>
          <w:rFonts w:ascii="仿宋" w:eastAsia="仿宋" w:hAnsi="仿宋" w:hint="eastAsia"/>
          <w:sz w:val="32"/>
          <w:szCs w:val="32"/>
        </w:rPr>
        <w:t>1-12月，全县货物进出口总额7688.4万美元，同比增长5.2%。其中，进口总额3900.9万美元，增长116.7%；出口总额3787.6万美元，下降31.3%。</w:t>
      </w:r>
    </w:p>
    <w:p w:rsidR="003115A8" w:rsidRPr="00455B76" w:rsidRDefault="00CA18EA" w:rsidP="00455B76">
      <w:pPr>
        <w:spacing w:line="572" w:lineRule="exact"/>
        <w:ind w:leftChars="-50" w:left="-105" w:rightChars="-50" w:right="-105"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八、金融机构本外币存贷款余额保持增长</w:t>
      </w:r>
      <w:r w:rsidR="00455B76"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月底，金融机构本外币存款余额127.</w:t>
      </w:r>
      <w:r>
        <w:rPr>
          <w:rFonts w:ascii="仿宋" w:eastAsia="仿宋" w:hAnsi="仿宋"/>
          <w:sz w:val="32"/>
          <w:szCs w:val="32"/>
        </w:rPr>
        <w:t>76</w:t>
      </w:r>
      <w:r>
        <w:rPr>
          <w:rFonts w:ascii="仿宋" w:eastAsia="仿宋" w:hAnsi="仿宋" w:hint="eastAsia"/>
          <w:sz w:val="32"/>
          <w:szCs w:val="32"/>
        </w:rPr>
        <w:t>亿元，同比增长</w:t>
      </w:r>
      <w:r>
        <w:rPr>
          <w:rFonts w:ascii="仿宋" w:eastAsia="仿宋" w:hAnsi="仿宋"/>
          <w:sz w:val="32"/>
          <w:szCs w:val="32"/>
        </w:rPr>
        <w:t>7.6</w:t>
      </w:r>
      <w:r>
        <w:rPr>
          <w:rFonts w:ascii="仿宋" w:eastAsia="仿宋" w:hAnsi="仿宋" w:hint="eastAsia"/>
          <w:sz w:val="32"/>
          <w:szCs w:val="32"/>
        </w:rPr>
        <w:t>%，其中住户存款余额10</w:t>
      </w:r>
      <w:r>
        <w:rPr>
          <w:rFonts w:ascii="仿宋" w:eastAsia="仿宋" w:hAnsi="仿宋"/>
          <w:sz w:val="32"/>
          <w:szCs w:val="32"/>
        </w:rPr>
        <w:t>6.4</w:t>
      </w:r>
      <w:r w:rsidR="0057785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亿元，同比增长</w:t>
      </w:r>
      <w:r>
        <w:rPr>
          <w:rFonts w:ascii="仿宋" w:eastAsia="仿宋" w:hAnsi="仿宋"/>
          <w:sz w:val="32"/>
          <w:szCs w:val="32"/>
        </w:rPr>
        <w:t>10.8</w:t>
      </w:r>
      <w:r>
        <w:rPr>
          <w:rFonts w:ascii="仿宋" w:eastAsia="仿宋" w:hAnsi="仿宋" w:hint="eastAsia"/>
          <w:sz w:val="32"/>
          <w:szCs w:val="32"/>
        </w:rPr>
        <w:t>%；本外币贷款余额82.</w:t>
      </w:r>
      <w:r>
        <w:rPr>
          <w:rFonts w:ascii="仿宋" w:eastAsia="仿宋" w:hAnsi="仿宋"/>
          <w:sz w:val="32"/>
          <w:szCs w:val="32"/>
        </w:rPr>
        <w:t>95</w:t>
      </w:r>
      <w:r>
        <w:rPr>
          <w:rFonts w:ascii="仿宋" w:eastAsia="仿宋" w:hAnsi="仿宋" w:hint="eastAsia"/>
          <w:sz w:val="32"/>
          <w:szCs w:val="32"/>
        </w:rPr>
        <w:t>亿元，同比增长1</w:t>
      </w:r>
      <w:r>
        <w:rPr>
          <w:rFonts w:ascii="仿宋" w:eastAsia="仿宋" w:hAnsi="仿宋"/>
          <w:sz w:val="32"/>
          <w:szCs w:val="32"/>
        </w:rPr>
        <w:t>2.3</w:t>
      </w:r>
      <w:r>
        <w:rPr>
          <w:rFonts w:ascii="仿宋" w:eastAsia="仿宋" w:hAnsi="仿宋" w:hint="eastAsia"/>
          <w:sz w:val="32"/>
          <w:szCs w:val="32"/>
        </w:rPr>
        <w:t>%。</w:t>
      </w:r>
    </w:p>
    <w:sectPr w:rsidR="003115A8" w:rsidRPr="00455B76"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48" w:rsidRDefault="00124A48">
      <w:r>
        <w:separator/>
      </w:r>
    </w:p>
  </w:endnote>
  <w:endnote w:type="continuationSeparator" w:id="0">
    <w:p w:rsidR="00124A48" w:rsidRDefault="001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</w:sdtPr>
    <w:sdtEndPr>
      <w:rPr>
        <w:rFonts w:ascii="Times New Roman" w:eastAsia="宋体" w:hAnsi="Times New Roman"/>
        <w:sz w:val="28"/>
      </w:rPr>
    </w:sdtEndPr>
    <w:sdtContent>
      <w:p w:rsidR="003115A8" w:rsidRDefault="00CA18EA">
        <w:pPr>
          <w:pStyle w:val="a5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-</w:t>
        </w:r>
        <w:r>
          <w:rPr>
            <w:rFonts w:ascii="Times New Roman" w:eastAsia="宋体" w:hAnsi="Times New Roman"/>
            <w:sz w:val="28"/>
          </w:rPr>
          <w:t xml:space="preserve"> 1 -</w:t>
        </w:r>
        <w:r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3115A8" w:rsidRDefault="00311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48" w:rsidRDefault="00124A48">
      <w:r>
        <w:separator/>
      </w:r>
    </w:p>
  </w:footnote>
  <w:footnote w:type="continuationSeparator" w:id="0">
    <w:p w:rsidR="00124A48" w:rsidRDefault="0012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1OTIwYTg1YmQ5NDJmY2Q2ZWVkY2M1YWZlZDUyN2YifQ=="/>
  </w:docVars>
  <w:rsids>
    <w:rsidRoot w:val="009474A2"/>
    <w:rsid w:val="00001274"/>
    <w:rsid w:val="0000145B"/>
    <w:rsid w:val="000069FE"/>
    <w:rsid w:val="00034712"/>
    <w:rsid w:val="00037BEC"/>
    <w:rsid w:val="00045581"/>
    <w:rsid w:val="00046FFB"/>
    <w:rsid w:val="000553AD"/>
    <w:rsid w:val="00060935"/>
    <w:rsid w:val="00062051"/>
    <w:rsid w:val="00064627"/>
    <w:rsid w:val="00070AD1"/>
    <w:rsid w:val="000757F8"/>
    <w:rsid w:val="000774E2"/>
    <w:rsid w:val="000809FD"/>
    <w:rsid w:val="00081582"/>
    <w:rsid w:val="000815C0"/>
    <w:rsid w:val="00084728"/>
    <w:rsid w:val="000855B6"/>
    <w:rsid w:val="00091B9D"/>
    <w:rsid w:val="0009681E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0F4854"/>
    <w:rsid w:val="00110390"/>
    <w:rsid w:val="00112C55"/>
    <w:rsid w:val="00113EBC"/>
    <w:rsid w:val="0011489D"/>
    <w:rsid w:val="001152BB"/>
    <w:rsid w:val="00124A48"/>
    <w:rsid w:val="001265B7"/>
    <w:rsid w:val="0012674A"/>
    <w:rsid w:val="001306D7"/>
    <w:rsid w:val="0013121D"/>
    <w:rsid w:val="00132BF3"/>
    <w:rsid w:val="00137815"/>
    <w:rsid w:val="00141693"/>
    <w:rsid w:val="00141F1D"/>
    <w:rsid w:val="00144932"/>
    <w:rsid w:val="00144F00"/>
    <w:rsid w:val="00151E62"/>
    <w:rsid w:val="001533B3"/>
    <w:rsid w:val="001545B7"/>
    <w:rsid w:val="0016013A"/>
    <w:rsid w:val="00161276"/>
    <w:rsid w:val="0016175C"/>
    <w:rsid w:val="00163C59"/>
    <w:rsid w:val="001673EB"/>
    <w:rsid w:val="00171AE5"/>
    <w:rsid w:val="001761B8"/>
    <w:rsid w:val="00176468"/>
    <w:rsid w:val="00185A38"/>
    <w:rsid w:val="00185E49"/>
    <w:rsid w:val="001863AC"/>
    <w:rsid w:val="001A076F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3372"/>
    <w:rsid w:val="00236AFE"/>
    <w:rsid w:val="00236C01"/>
    <w:rsid w:val="00252435"/>
    <w:rsid w:val="00253191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2408"/>
    <w:rsid w:val="002B48E9"/>
    <w:rsid w:val="002B583C"/>
    <w:rsid w:val="002B7479"/>
    <w:rsid w:val="002C1FF4"/>
    <w:rsid w:val="002C29D3"/>
    <w:rsid w:val="002C664F"/>
    <w:rsid w:val="002C7475"/>
    <w:rsid w:val="002C7DBC"/>
    <w:rsid w:val="002F69CE"/>
    <w:rsid w:val="002F7302"/>
    <w:rsid w:val="00302D82"/>
    <w:rsid w:val="003115A8"/>
    <w:rsid w:val="003168BF"/>
    <w:rsid w:val="003403EC"/>
    <w:rsid w:val="003528B6"/>
    <w:rsid w:val="003534EE"/>
    <w:rsid w:val="00363923"/>
    <w:rsid w:val="003707CB"/>
    <w:rsid w:val="00371E47"/>
    <w:rsid w:val="003755D6"/>
    <w:rsid w:val="00375713"/>
    <w:rsid w:val="003767F2"/>
    <w:rsid w:val="00383CC1"/>
    <w:rsid w:val="00386094"/>
    <w:rsid w:val="00386A47"/>
    <w:rsid w:val="003928DE"/>
    <w:rsid w:val="003A6BBF"/>
    <w:rsid w:val="003B2261"/>
    <w:rsid w:val="003C3A4A"/>
    <w:rsid w:val="003C70B8"/>
    <w:rsid w:val="003D1B64"/>
    <w:rsid w:val="003D2D22"/>
    <w:rsid w:val="003D590E"/>
    <w:rsid w:val="003E23A0"/>
    <w:rsid w:val="003E26D0"/>
    <w:rsid w:val="003E41FF"/>
    <w:rsid w:val="0040010A"/>
    <w:rsid w:val="00417D47"/>
    <w:rsid w:val="00420045"/>
    <w:rsid w:val="004255A8"/>
    <w:rsid w:val="00427116"/>
    <w:rsid w:val="004325FD"/>
    <w:rsid w:val="00435B1C"/>
    <w:rsid w:val="00443A1A"/>
    <w:rsid w:val="00454012"/>
    <w:rsid w:val="00455B76"/>
    <w:rsid w:val="004567BD"/>
    <w:rsid w:val="00461A76"/>
    <w:rsid w:val="00470C5D"/>
    <w:rsid w:val="00472DC2"/>
    <w:rsid w:val="00473134"/>
    <w:rsid w:val="00473304"/>
    <w:rsid w:val="00475785"/>
    <w:rsid w:val="0047637A"/>
    <w:rsid w:val="00481D6F"/>
    <w:rsid w:val="00484036"/>
    <w:rsid w:val="004939A0"/>
    <w:rsid w:val="004A0351"/>
    <w:rsid w:val="004A1119"/>
    <w:rsid w:val="004A1528"/>
    <w:rsid w:val="004A2E5E"/>
    <w:rsid w:val="004A40BA"/>
    <w:rsid w:val="004B08B5"/>
    <w:rsid w:val="004B170E"/>
    <w:rsid w:val="004B216F"/>
    <w:rsid w:val="004B37E6"/>
    <w:rsid w:val="004C15B3"/>
    <w:rsid w:val="004C1D98"/>
    <w:rsid w:val="004D2132"/>
    <w:rsid w:val="004D339C"/>
    <w:rsid w:val="004E458A"/>
    <w:rsid w:val="004F0D51"/>
    <w:rsid w:val="004F0D7B"/>
    <w:rsid w:val="004F6CB0"/>
    <w:rsid w:val="004F6DDC"/>
    <w:rsid w:val="00503B55"/>
    <w:rsid w:val="005079D0"/>
    <w:rsid w:val="00524AB9"/>
    <w:rsid w:val="00535E4A"/>
    <w:rsid w:val="00547BC7"/>
    <w:rsid w:val="005519DC"/>
    <w:rsid w:val="0055210A"/>
    <w:rsid w:val="005542FE"/>
    <w:rsid w:val="005575A0"/>
    <w:rsid w:val="00562ED3"/>
    <w:rsid w:val="00563F3E"/>
    <w:rsid w:val="005645DA"/>
    <w:rsid w:val="00565D65"/>
    <w:rsid w:val="005726B5"/>
    <w:rsid w:val="00577680"/>
    <w:rsid w:val="0057785D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ED5"/>
    <w:rsid w:val="005A4F14"/>
    <w:rsid w:val="005A58AC"/>
    <w:rsid w:val="005A5A00"/>
    <w:rsid w:val="005B1CD2"/>
    <w:rsid w:val="005B7F7C"/>
    <w:rsid w:val="005D0DB7"/>
    <w:rsid w:val="005D6B21"/>
    <w:rsid w:val="005D6EED"/>
    <w:rsid w:val="005D7C88"/>
    <w:rsid w:val="005E1CB1"/>
    <w:rsid w:val="005E307B"/>
    <w:rsid w:val="005E43C5"/>
    <w:rsid w:val="005E544F"/>
    <w:rsid w:val="005F27EC"/>
    <w:rsid w:val="005F30CD"/>
    <w:rsid w:val="005F48E3"/>
    <w:rsid w:val="005F65BC"/>
    <w:rsid w:val="006104C9"/>
    <w:rsid w:val="00612633"/>
    <w:rsid w:val="00623702"/>
    <w:rsid w:val="006342BA"/>
    <w:rsid w:val="006376E7"/>
    <w:rsid w:val="00640BD9"/>
    <w:rsid w:val="006511D4"/>
    <w:rsid w:val="00671506"/>
    <w:rsid w:val="006725C7"/>
    <w:rsid w:val="00674653"/>
    <w:rsid w:val="00675D70"/>
    <w:rsid w:val="00681F6D"/>
    <w:rsid w:val="0069350C"/>
    <w:rsid w:val="00693B79"/>
    <w:rsid w:val="00695B76"/>
    <w:rsid w:val="006961D3"/>
    <w:rsid w:val="006A24E5"/>
    <w:rsid w:val="006A3891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4E50"/>
    <w:rsid w:val="007B6E94"/>
    <w:rsid w:val="007C0906"/>
    <w:rsid w:val="007C2C9E"/>
    <w:rsid w:val="007C5D39"/>
    <w:rsid w:val="007D3BB8"/>
    <w:rsid w:val="007D7FFB"/>
    <w:rsid w:val="007E2B81"/>
    <w:rsid w:val="007E3E1E"/>
    <w:rsid w:val="007E418E"/>
    <w:rsid w:val="007E5680"/>
    <w:rsid w:val="007E59AD"/>
    <w:rsid w:val="007E6281"/>
    <w:rsid w:val="007F23AC"/>
    <w:rsid w:val="007F4096"/>
    <w:rsid w:val="007F587C"/>
    <w:rsid w:val="007F6D94"/>
    <w:rsid w:val="007F783E"/>
    <w:rsid w:val="00803CF5"/>
    <w:rsid w:val="00804E80"/>
    <w:rsid w:val="008157D7"/>
    <w:rsid w:val="00815820"/>
    <w:rsid w:val="00820A25"/>
    <w:rsid w:val="00823F0F"/>
    <w:rsid w:val="00824734"/>
    <w:rsid w:val="008254F0"/>
    <w:rsid w:val="0082571C"/>
    <w:rsid w:val="008307AE"/>
    <w:rsid w:val="00831A25"/>
    <w:rsid w:val="0083418C"/>
    <w:rsid w:val="00835437"/>
    <w:rsid w:val="008355B7"/>
    <w:rsid w:val="00835CB6"/>
    <w:rsid w:val="0084533E"/>
    <w:rsid w:val="00845FBD"/>
    <w:rsid w:val="00852D68"/>
    <w:rsid w:val="00854E1D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E5FAA"/>
    <w:rsid w:val="008E64B3"/>
    <w:rsid w:val="008F262C"/>
    <w:rsid w:val="008F3887"/>
    <w:rsid w:val="008F4513"/>
    <w:rsid w:val="008F4D2B"/>
    <w:rsid w:val="008F632A"/>
    <w:rsid w:val="0090615B"/>
    <w:rsid w:val="00906E71"/>
    <w:rsid w:val="00906E94"/>
    <w:rsid w:val="00915415"/>
    <w:rsid w:val="0091797D"/>
    <w:rsid w:val="00924C1D"/>
    <w:rsid w:val="00927452"/>
    <w:rsid w:val="00930F74"/>
    <w:rsid w:val="0093716E"/>
    <w:rsid w:val="0093736A"/>
    <w:rsid w:val="00937791"/>
    <w:rsid w:val="009404EB"/>
    <w:rsid w:val="009474A2"/>
    <w:rsid w:val="00947E0F"/>
    <w:rsid w:val="00952494"/>
    <w:rsid w:val="009524CD"/>
    <w:rsid w:val="009619A9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37C4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7515B"/>
    <w:rsid w:val="00A7557F"/>
    <w:rsid w:val="00A817C9"/>
    <w:rsid w:val="00A86BF2"/>
    <w:rsid w:val="00A86D57"/>
    <w:rsid w:val="00A874B5"/>
    <w:rsid w:val="00A9030E"/>
    <w:rsid w:val="00A906B9"/>
    <w:rsid w:val="00A93A88"/>
    <w:rsid w:val="00A93E70"/>
    <w:rsid w:val="00A9521E"/>
    <w:rsid w:val="00AA4BE6"/>
    <w:rsid w:val="00AB409A"/>
    <w:rsid w:val="00AB54BB"/>
    <w:rsid w:val="00AB7C98"/>
    <w:rsid w:val="00AC674B"/>
    <w:rsid w:val="00AD6CED"/>
    <w:rsid w:val="00AE70FC"/>
    <w:rsid w:val="00AE7863"/>
    <w:rsid w:val="00B005D0"/>
    <w:rsid w:val="00B04B5C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2BC4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905"/>
    <w:rsid w:val="00BB3BE8"/>
    <w:rsid w:val="00BB6F74"/>
    <w:rsid w:val="00BC1032"/>
    <w:rsid w:val="00BC5C52"/>
    <w:rsid w:val="00BE06A8"/>
    <w:rsid w:val="00BE68B9"/>
    <w:rsid w:val="00BF19DD"/>
    <w:rsid w:val="00BF7865"/>
    <w:rsid w:val="00C00D39"/>
    <w:rsid w:val="00C064A5"/>
    <w:rsid w:val="00C066FB"/>
    <w:rsid w:val="00C123DD"/>
    <w:rsid w:val="00C12F78"/>
    <w:rsid w:val="00C201EC"/>
    <w:rsid w:val="00C20B0F"/>
    <w:rsid w:val="00C21B99"/>
    <w:rsid w:val="00C260F2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18EA"/>
    <w:rsid w:val="00CA4837"/>
    <w:rsid w:val="00CA535C"/>
    <w:rsid w:val="00CA5F2F"/>
    <w:rsid w:val="00CA63E0"/>
    <w:rsid w:val="00CA7402"/>
    <w:rsid w:val="00CB5E28"/>
    <w:rsid w:val="00CC23EB"/>
    <w:rsid w:val="00CC48CE"/>
    <w:rsid w:val="00CD1BA9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6DD3"/>
    <w:rsid w:val="00D172F8"/>
    <w:rsid w:val="00D21035"/>
    <w:rsid w:val="00D27D82"/>
    <w:rsid w:val="00D30BAE"/>
    <w:rsid w:val="00D323CD"/>
    <w:rsid w:val="00D33242"/>
    <w:rsid w:val="00D3710C"/>
    <w:rsid w:val="00D4084D"/>
    <w:rsid w:val="00D46C55"/>
    <w:rsid w:val="00D5304B"/>
    <w:rsid w:val="00D60626"/>
    <w:rsid w:val="00D6230A"/>
    <w:rsid w:val="00D62F0B"/>
    <w:rsid w:val="00D67E9D"/>
    <w:rsid w:val="00D72353"/>
    <w:rsid w:val="00D74A97"/>
    <w:rsid w:val="00D864F0"/>
    <w:rsid w:val="00D90337"/>
    <w:rsid w:val="00D92237"/>
    <w:rsid w:val="00D941FC"/>
    <w:rsid w:val="00D955EF"/>
    <w:rsid w:val="00D97350"/>
    <w:rsid w:val="00DA152D"/>
    <w:rsid w:val="00DA2473"/>
    <w:rsid w:val="00DB1DB9"/>
    <w:rsid w:val="00DB2A0D"/>
    <w:rsid w:val="00DB7CEF"/>
    <w:rsid w:val="00DB7F67"/>
    <w:rsid w:val="00DC1E95"/>
    <w:rsid w:val="00DD09D4"/>
    <w:rsid w:val="00DD10A3"/>
    <w:rsid w:val="00DD30A0"/>
    <w:rsid w:val="00DD58FB"/>
    <w:rsid w:val="00DE1519"/>
    <w:rsid w:val="00DE7A23"/>
    <w:rsid w:val="00DF0065"/>
    <w:rsid w:val="00DF0297"/>
    <w:rsid w:val="00E04A17"/>
    <w:rsid w:val="00E1442E"/>
    <w:rsid w:val="00E14FF6"/>
    <w:rsid w:val="00E35347"/>
    <w:rsid w:val="00E409D0"/>
    <w:rsid w:val="00E40E3C"/>
    <w:rsid w:val="00E42FFD"/>
    <w:rsid w:val="00E4610C"/>
    <w:rsid w:val="00E465BC"/>
    <w:rsid w:val="00E4788C"/>
    <w:rsid w:val="00E6177A"/>
    <w:rsid w:val="00E65937"/>
    <w:rsid w:val="00E74DC6"/>
    <w:rsid w:val="00E801CE"/>
    <w:rsid w:val="00E80945"/>
    <w:rsid w:val="00E83EC0"/>
    <w:rsid w:val="00E84D79"/>
    <w:rsid w:val="00E85E51"/>
    <w:rsid w:val="00E8618F"/>
    <w:rsid w:val="00E875E7"/>
    <w:rsid w:val="00E9079D"/>
    <w:rsid w:val="00E911CE"/>
    <w:rsid w:val="00E94083"/>
    <w:rsid w:val="00EA21D6"/>
    <w:rsid w:val="00EB1606"/>
    <w:rsid w:val="00EB19FB"/>
    <w:rsid w:val="00EB5C58"/>
    <w:rsid w:val="00EC0002"/>
    <w:rsid w:val="00EC0474"/>
    <w:rsid w:val="00EC33D1"/>
    <w:rsid w:val="00EC4DC1"/>
    <w:rsid w:val="00EC7D36"/>
    <w:rsid w:val="00ED03E4"/>
    <w:rsid w:val="00ED3F5C"/>
    <w:rsid w:val="00ED4F52"/>
    <w:rsid w:val="00EE61B0"/>
    <w:rsid w:val="00EE6C6C"/>
    <w:rsid w:val="00EE74D8"/>
    <w:rsid w:val="00EE7846"/>
    <w:rsid w:val="00EF0DAF"/>
    <w:rsid w:val="00EF4E3C"/>
    <w:rsid w:val="00F048F0"/>
    <w:rsid w:val="00F10FD0"/>
    <w:rsid w:val="00F21305"/>
    <w:rsid w:val="00F33E4E"/>
    <w:rsid w:val="00F4759C"/>
    <w:rsid w:val="00F51C14"/>
    <w:rsid w:val="00F55B0D"/>
    <w:rsid w:val="00F569CE"/>
    <w:rsid w:val="00F6310C"/>
    <w:rsid w:val="00F63EF6"/>
    <w:rsid w:val="00F67C9F"/>
    <w:rsid w:val="00F72CD3"/>
    <w:rsid w:val="00F74369"/>
    <w:rsid w:val="00F81C49"/>
    <w:rsid w:val="00F8206F"/>
    <w:rsid w:val="00F85429"/>
    <w:rsid w:val="00F858A6"/>
    <w:rsid w:val="00F9238F"/>
    <w:rsid w:val="00FA6144"/>
    <w:rsid w:val="00FB00CB"/>
    <w:rsid w:val="00FB530D"/>
    <w:rsid w:val="00FB6A56"/>
    <w:rsid w:val="00FB7BC5"/>
    <w:rsid w:val="00FC4A28"/>
    <w:rsid w:val="00FD3359"/>
    <w:rsid w:val="00FD3C13"/>
    <w:rsid w:val="00FE14AD"/>
    <w:rsid w:val="00FE4A40"/>
    <w:rsid w:val="00FE56BB"/>
    <w:rsid w:val="00FF6D8B"/>
    <w:rsid w:val="33FF7E4B"/>
    <w:rsid w:val="39B400F6"/>
    <w:rsid w:val="42F425C9"/>
    <w:rsid w:val="52A73246"/>
    <w:rsid w:val="5A344326"/>
    <w:rsid w:val="68B54647"/>
    <w:rsid w:val="72B321F6"/>
    <w:rsid w:val="741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F9A921"/>
  <w15:docId w15:val="{89624723-01B1-4CAE-AB5D-FAD34E3E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433</cp:revision>
  <cp:lastPrinted>2023-08-28T01:41:00Z</cp:lastPrinted>
  <dcterms:created xsi:type="dcterms:W3CDTF">2022-06-03T01:44:00Z</dcterms:created>
  <dcterms:modified xsi:type="dcterms:W3CDTF">2024-01-31T07:19:00Z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AB78E528DFAB4208A8201FB3EA335287_13</vt:lpwstr>
  </property>
</Properties>
</file>