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文星黑体" w:hAnsi="文星黑体" w:eastAsia="文星黑体"/>
          <w:sz w:val="28"/>
          <w:szCs w:val="28"/>
        </w:rPr>
      </w:pPr>
      <w:r>
        <w:rPr>
          <w:rFonts w:hint="eastAsia" w:ascii="文星黑体" w:hAnsi="文星黑体" w:eastAsia="文星黑体"/>
          <w:sz w:val="28"/>
          <w:szCs w:val="28"/>
        </w:rPr>
        <w:t>附</w:t>
      </w:r>
      <w:r>
        <w:rPr>
          <w:rFonts w:hint="eastAsia" w:ascii="文星黑体" w:hAnsi="文星黑体" w:eastAsia="文星黑体"/>
          <w:sz w:val="28"/>
          <w:szCs w:val="28"/>
          <w:lang w:eastAsia="zh-CN"/>
        </w:rPr>
        <w:t>表</w:t>
      </w:r>
      <w:bookmarkStart w:id="0" w:name="_GoBack"/>
      <w:bookmarkEnd w:id="0"/>
      <w:r>
        <w:rPr>
          <w:rFonts w:hint="eastAsia" w:ascii="文星黑体" w:hAnsi="文星黑体" w:eastAsia="文星黑体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文星标宋"/>
          <w:color w:val="FF0000"/>
          <w:sz w:val="32"/>
          <w:szCs w:val="32"/>
        </w:rPr>
      </w:pPr>
      <w:r>
        <w:rPr>
          <w:rFonts w:hint="eastAsia" w:ascii="Times New Roman" w:hAnsi="Times New Roman" w:eastAsia="文星标宋"/>
          <w:sz w:val="32"/>
          <w:szCs w:val="32"/>
        </w:rPr>
        <w:t>平远县2022年国民经济和社会发展计划主要指标</w:t>
      </w:r>
    </w:p>
    <w:tbl>
      <w:tblPr>
        <w:tblStyle w:val="7"/>
        <w:tblW w:w="14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2875"/>
        <w:gridCol w:w="1120"/>
        <w:gridCol w:w="1114"/>
        <w:gridCol w:w="1003"/>
        <w:gridCol w:w="1059"/>
        <w:gridCol w:w="1058"/>
        <w:gridCol w:w="1139"/>
        <w:gridCol w:w="978"/>
        <w:gridCol w:w="1062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类别</w:t>
            </w:r>
          </w:p>
        </w:tc>
        <w:tc>
          <w:tcPr>
            <w:tcW w:w="372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指标名称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计算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单位</w:t>
            </w:r>
          </w:p>
        </w:tc>
        <w:tc>
          <w:tcPr>
            <w:tcW w:w="211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2020年实际</w:t>
            </w:r>
          </w:p>
        </w:tc>
        <w:tc>
          <w:tcPr>
            <w:tcW w:w="423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2021年</w:t>
            </w:r>
          </w:p>
        </w:tc>
        <w:tc>
          <w:tcPr>
            <w:tcW w:w="217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2022年计划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2117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计划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初步核算</w:t>
            </w: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绝对数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增长(%)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绝对数</w:t>
            </w:r>
          </w:p>
        </w:tc>
        <w:tc>
          <w:tcPr>
            <w:tcW w:w="1058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增长(%)</w:t>
            </w:r>
          </w:p>
        </w:tc>
        <w:tc>
          <w:tcPr>
            <w:tcW w:w="1139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绝对数</w:t>
            </w:r>
          </w:p>
        </w:tc>
        <w:tc>
          <w:tcPr>
            <w:tcW w:w="978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增长(%)</w:t>
            </w:r>
          </w:p>
        </w:tc>
        <w:tc>
          <w:tcPr>
            <w:tcW w:w="1062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绝对数</w:t>
            </w:r>
          </w:p>
        </w:tc>
        <w:tc>
          <w:tcPr>
            <w:tcW w:w="1108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增长(%)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经济</w:t>
            </w: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发展</w:t>
            </w:r>
          </w:p>
          <w:p>
            <w:pPr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经济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发展</w:t>
            </w: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文星仿宋" w:eastAsia="文星仿宋" w:hAnsiTheme="majorEastAsia"/>
                <w:color w:val="auto"/>
                <w:highlight w:val="none"/>
              </w:rPr>
            </w:pPr>
            <w:r>
              <w:rPr>
                <w:rFonts w:hint="eastAsia" w:ascii="文星仿宋" w:eastAsia="文星仿宋" w:hAnsiTheme="majorEastAsia"/>
                <w:color w:val="auto"/>
                <w:highlight w:val="none"/>
              </w:rPr>
              <w:t>地区生产总值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文星仿宋" w:eastAsia="文星仿宋" w:hAnsiTheme="majorEastAsia"/>
                <w:color w:val="auto"/>
                <w:highlight w:val="none"/>
              </w:rPr>
            </w:pPr>
            <w:r>
              <w:rPr>
                <w:rFonts w:hint="eastAsia" w:ascii="文星仿宋" w:eastAsia="文星仿宋" w:hAnsiTheme="majorEastAsia"/>
                <w:color w:val="auto"/>
                <w:highlight w:val="none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79.42</w:t>
            </w:r>
          </w:p>
        </w:tc>
        <w:tc>
          <w:tcPr>
            <w:tcW w:w="1003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1.9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5.0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85.66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5.9</w:t>
            </w:r>
          </w:p>
        </w:tc>
        <w:tc>
          <w:tcPr>
            <w:tcW w:w="1062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0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第一产业增加值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14.77</w:t>
            </w:r>
          </w:p>
        </w:tc>
        <w:tc>
          <w:tcPr>
            <w:tcW w:w="1003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2.4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15.73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3.6</w:t>
            </w:r>
          </w:p>
        </w:tc>
        <w:tc>
          <w:tcPr>
            <w:tcW w:w="1062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0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第二产业增加值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23.11</w:t>
            </w:r>
          </w:p>
        </w:tc>
        <w:tc>
          <w:tcPr>
            <w:tcW w:w="1003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5.2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23.39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0.8</w:t>
            </w:r>
          </w:p>
        </w:tc>
        <w:tc>
          <w:tcPr>
            <w:tcW w:w="1062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0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第三产业增加值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41.54</w:t>
            </w:r>
          </w:p>
        </w:tc>
        <w:tc>
          <w:tcPr>
            <w:tcW w:w="1003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-0.6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46.54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9.5</w:t>
            </w:r>
          </w:p>
        </w:tc>
        <w:tc>
          <w:tcPr>
            <w:tcW w:w="1062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0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人均地区生产总值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元</w:t>
            </w:r>
          </w:p>
        </w:tc>
        <w:tc>
          <w:tcPr>
            <w:tcW w:w="1114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41406</w:t>
            </w:r>
          </w:p>
        </w:tc>
        <w:tc>
          <w:tcPr>
            <w:tcW w:w="1003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4.1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5.0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45168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7.1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地方一般公共预算收入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5.18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-13.7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0.38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5.28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1.8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规模以上工业增加值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10.98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7.0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12.26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11.1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固定资产投资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37.9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7.9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39.8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36.79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-2.9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工业投资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9.19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32.1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10.29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12.0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13.5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46.9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社会消费品零售总额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-6.8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33.6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33.30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4.1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进出口总额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8.62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-5.23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10.0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8.11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-5.86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实际利用外商直接投资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0.08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完成市下达任务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0.1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每万人口发明专利拥有量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件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5.0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2.15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5.5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2.15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5.5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2.2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全市接待过夜旅游人数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万人次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192.82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203.35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5.46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201.35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4.43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24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旅游总收入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亿元</w:t>
            </w:r>
          </w:p>
        </w:tc>
        <w:tc>
          <w:tcPr>
            <w:tcW w:w="111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8.645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8.98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3.88</w:t>
            </w:r>
          </w:p>
        </w:tc>
        <w:tc>
          <w:tcPr>
            <w:tcW w:w="113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8.7</w:t>
            </w:r>
          </w:p>
        </w:tc>
        <w:tc>
          <w:tcPr>
            <w:tcW w:w="97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0.64</w:t>
            </w:r>
          </w:p>
        </w:tc>
        <w:tc>
          <w:tcPr>
            <w:tcW w:w="106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1.6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城镇</w:t>
            </w:r>
          </w:p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化率</w:t>
            </w:r>
          </w:p>
        </w:tc>
        <w:tc>
          <w:tcPr>
            <w:tcW w:w="2875" w:type="dxa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常住人口城镇化率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%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50.02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1.93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50.84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——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50.81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0.79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</w:p>
        </w:tc>
        <w:tc>
          <w:tcPr>
            <w:tcW w:w="2875" w:type="dxa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户籍人口城镇化率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%</w:t>
            </w:r>
          </w:p>
        </w:tc>
        <w:tc>
          <w:tcPr>
            <w:tcW w:w="1114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40.84</w:t>
            </w:r>
          </w:p>
        </w:tc>
        <w:tc>
          <w:tcPr>
            <w:tcW w:w="1003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0.4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42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——</w:t>
            </w:r>
          </w:p>
        </w:tc>
        <w:tc>
          <w:tcPr>
            <w:tcW w:w="113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41.01</w:t>
            </w:r>
          </w:p>
        </w:tc>
        <w:tc>
          <w:tcPr>
            <w:tcW w:w="97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——</w:t>
            </w:r>
          </w:p>
        </w:tc>
        <w:tc>
          <w:tcPr>
            <w:tcW w:w="1062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42.0</w:t>
            </w:r>
          </w:p>
        </w:tc>
        <w:tc>
          <w:tcPr>
            <w:tcW w:w="110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民生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福祉</w:t>
            </w: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常住人口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万人</w:t>
            </w:r>
          </w:p>
        </w:tc>
        <w:tc>
          <w:tcPr>
            <w:tcW w:w="111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18.98</w:t>
            </w:r>
          </w:p>
        </w:tc>
        <w:tc>
          <w:tcPr>
            <w:tcW w:w="10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——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23.54</w:t>
            </w:r>
          </w:p>
        </w:tc>
        <w:tc>
          <w:tcPr>
            <w:tcW w:w="105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0.04</w:t>
            </w:r>
          </w:p>
        </w:tc>
        <w:tc>
          <w:tcPr>
            <w:tcW w:w="1139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</w:pPr>
          </w:p>
          <w:p>
            <w:pPr>
              <w:spacing w:line="220" w:lineRule="exact"/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18.95</w:t>
            </w:r>
          </w:p>
        </w:tc>
        <w:tc>
          <w:tcPr>
            <w:tcW w:w="978" w:type="dxa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-0.16</w:t>
            </w:r>
          </w:p>
        </w:tc>
        <w:tc>
          <w:tcPr>
            <w:tcW w:w="106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——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人口自然增长率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‰</w:t>
            </w:r>
          </w:p>
        </w:tc>
        <w:tc>
          <w:tcPr>
            <w:tcW w:w="1114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——</w:t>
            </w:r>
          </w:p>
        </w:tc>
        <w:tc>
          <w:tcPr>
            <w:tcW w:w="1003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2.34</w:t>
            </w:r>
          </w:p>
        </w:tc>
        <w:tc>
          <w:tcPr>
            <w:tcW w:w="1059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——</w:t>
            </w:r>
          </w:p>
        </w:tc>
        <w:tc>
          <w:tcPr>
            <w:tcW w:w="105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0.17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——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-1.35</w:t>
            </w:r>
          </w:p>
        </w:tc>
        <w:tc>
          <w:tcPr>
            <w:tcW w:w="1062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highlight w:val="none"/>
              </w:rPr>
              <w:t>——</w:t>
            </w:r>
          </w:p>
        </w:tc>
        <w:tc>
          <w:tcPr>
            <w:tcW w:w="1108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全体居民人均可支配收入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元</w:t>
            </w:r>
          </w:p>
        </w:tc>
        <w:tc>
          <w:tcPr>
            <w:tcW w:w="1114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23120</w:t>
            </w:r>
          </w:p>
        </w:tc>
        <w:tc>
          <w:tcPr>
            <w:tcW w:w="1003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5.5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高于经济增速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25428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10.0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与经济增速基本同步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城镇居民人均可支配收入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元</w:t>
            </w:r>
          </w:p>
        </w:tc>
        <w:tc>
          <w:tcPr>
            <w:tcW w:w="1114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26984</w:t>
            </w:r>
          </w:p>
        </w:tc>
        <w:tc>
          <w:tcPr>
            <w:tcW w:w="1003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4.2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高于经济增速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29628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9.8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与经济增速基本同步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农村居民人均可支配收入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元</w:t>
            </w:r>
          </w:p>
        </w:tc>
        <w:tc>
          <w:tcPr>
            <w:tcW w:w="1114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19156</w:t>
            </w:r>
          </w:p>
        </w:tc>
        <w:tc>
          <w:tcPr>
            <w:tcW w:w="1003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6.5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高于经济增速</w:t>
            </w:r>
          </w:p>
        </w:tc>
        <w:tc>
          <w:tcPr>
            <w:tcW w:w="1139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21225</w:t>
            </w:r>
          </w:p>
        </w:tc>
        <w:tc>
          <w:tcPr>
            <w:tcW w:w="978" w:type="dxa"/>
          </w:tcPr>
          <w:p>
            <w:pPr>
              <w:spacing w:before="240"/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10.8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与经济增速基本同步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高中阶段教育毛入学率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%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96.5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0.7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96.6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96.6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96.7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每千人口床位数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张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793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4.9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828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5.0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4.92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17.7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863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4.2</w:t>
            </w:r>
          </w:p>
        </w:tc>
      </w:tr>
    </w:tbl>
    <w:p>
      <w:pPr>
        <w:spacing w:line="220" w:lineRule="exact"/>
        <w:jc w:val="center"/>
        <w:rPr>
          <w:rFonts w:ascii="Times New Roman" w:hAnsi="Times New Roman" w:eastAsia="文星黑体"/>
          <w:color w:val="auto"/>
          <w:highlight w:val="none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425" w:num="1"/>
          <w:docGrid w:linePitch="312" w:charSpace="0"/>
        </w:sectPr>
      </w:pPr>
    </w:p>
    <w:tbl>
      <w:tblPr>
        <w:tblStyle w:val="7"/>
        <w:tblW w:w="14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50"/>
        <w:gridCol w:w="2898"/>
        <w:gridCol w:w="1134"/>
        <w:gridCol w:w="1120"/>
        <w:gridCol w:w="961"/>
        <w:gridCol w:w="1073"/>
        <w:gridCol w:w="25"/>
        <w:gridCol w:w="1049"/>
        <w:gridCol w:w="1081"/>
        <w:gridCol w:w="1045"/>
        <w:gridCol w:w="1065"/>
        <w:gridCol w:w="7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民生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福祉</w:t>
            </w:r>
          </w:p>
        </w:tc>
        <w:tc>
          <w:tcPr>
            <w:tcW w:w="374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城镇新增就业人数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1405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0.07 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1400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1428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2 .0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城镇登记失业率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%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2.39以内 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3.5 以内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2.37以内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3.5 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基本养老保险参保率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96.5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95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97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城乡居民基本养老保险参保人数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万人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10.04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9.9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9.9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城乡基本医疗保险参保率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97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农村贫困人口脱贫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3969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3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绿色发展</w:t>
            </w: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br w:type="page"/>
            </w: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both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hint="eastAsia" w:ascii="Times New Roman" w:hAnsi="Times New Roman" w:eastAsia="文星黑体"/>
                <w:color w:val="auto"/>
                <w:highlight w:val="none"/>
              </w:rPr>
            </w:pPr>
          </w:p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绿色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黑体"/>
                <w:color w:val="auto"/>
                <w:highlight w:val="none"/>
              </w:rPr>
              <w:t>发展</w:t>
            </w: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耕地保有量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公顷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13429.27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13429.27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13429.27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4"/>
                <w:highlight w:val="none"/>
              </w:rPr>
              <w:t>13429.27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新增建设用地指标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亩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721.08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2950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40.71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868.74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万元GDP用水量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w w:val="75"/>
                <w:kern w:val="0"/>
                <w:highlight w:val="none"/>
              </w:rPr>
              <w:t>立方米/万</w:t>
            </w:r>
            <w:r>
              <w:rPr>
                <w:rFonts w:hint="eastAsia" w:ascii="Times New Roman" w:hAnsi="Times New Roman" w:eastAsia="文星仿宋"/>
                <w:color w:val="auto"/>
                <w:spacing w:val="4"/>
                <w:w w:val="75"/>
                <w:kern w:val="0"/>
                <w:highlight w:val="none"/>
              </w:rPr>
              <w:t>元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210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2.44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184.03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单位工业增加值用水量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w w:val="75"/>
                <w:kern w:val="0"/>
                <w:highlight w:val="none"/>
              </w:rPr>
              <w:t>立方米/万</w:t>
            </w:r>
            <w:r>
              <w:rPr>
                <w:rFonts w:hint="eastAsia" w:ascii="Times New Roman" w:hAnsi="Times New Roman" w:eastAsia="文星仿宋"/>
                <w:color w:val="auto"/>
                <w:spacing w:val="4"/>
                <w:w w:val="75"/>
                <w:kern w:val="0"/>
                <w:highlight w:val="none"/>
              </w:rPr>
              <w:t>元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35</w:t>
            </w:r>
          </w:p>
        </w:tc>
        <w:tc>
          <w:tcPr>
            <w:tcW w:w="96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8.63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单位GDP能耗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spacing w:val="1"/>
                <w:w w:val="63"/>
                <w:kern w:val="0"/>
                <w:highlight w:val="none"/>
                <w:fitText w:val="840" w:id="1"/>
              </w:rPr>
              <w:t>吨标准煤/万</w:t>
            </w:r>
            <w:r>
              <w:rPr>
                <w:rFonts w:hint="eastAsia" w:ascii="Times New Roman" w:hAnsi="Times New Roman" w:eastAsia="文星仿宋"/>
                <w:color w:val="auto"/>
                <w:spacing w:val="2"/>
                <w:w w:val="63"/>
                <w:kern w:val="0"/>
                <w:highlight w:val="none"/>
                <w:fitText w:val="840" w:id="1"/>
              </w:rPr>
              <w:t>元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0.73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1.22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能源消费总量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spacing w:val="0"/>
                <w:w w:val="80"/>
                <w:kern w:val="0"/>
                <w:highlight w:val="none"/>
                <w:fitText w:val="840" w:id="2"/>
              </w:rPr>
              <w:t>万吨标准</w:t>
            </w:r>
            <w:r>
              <w:rPr>
                <w:rFonts w:hint="eastAsia" w:ascii="Times New Roman" w:hAnsi="Times New Roman" w:eastAsia="文星仿宋"/>
                <w:color w:val="auto"/>
                <w:spacing w:val="2"/>
                <w:w w:val="80"/>
                <w:kern w:val="0"/>
                <w:highlight w:val="none"/>
                <w:fitText w:val="840" w:id="2"/>
              </w:rPr>
              <w:t>煤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54.25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3.1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城市生活污水集中处理率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98.3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98.31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98.32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98.35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城市生活垃圾无害化处理率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</w:p>
        </w:tc>
        <w:tc>
          <w:tcPr>
            <w:tcW w:w="3748" w:type="dxa"/>
            <w:gridSpan w:val="2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工业固体废物处置利用率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99.3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0.2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99.4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0.1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空气</w:t>
            </w:r>
          </w:p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质量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城市空气质量优良天数比例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城市PM2.5年均浓度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spacing w:val="1"/>
                <w:w w:val="75"/>
                <w:kern w:val="0"/>
                <w:highlight w:val="none"/>
                <w:fitText w:val="840" w:id="3"/>
              </w:rPr>
              <w:t>微克/立方</w:t>
            </w:r>
            <w:r>
              <w:rPr>
                <w:rFonts w:hint="eastAsia" w:ascii="Times New Roman" w:hAnsi="Times New Roman" w:eastAsia="文星仿宋"/>
                <w:color w:val="auto"/>
                <w:spacing w:val="0"/>
                <w:w w:val="75"/>
                <w:kern w:val="0"/>
                <w:highlight w:val="none"/>
                <w:fitText w:val="840" w:id="3"/>
              </w:rPr>
              <w:t>米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16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15.8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地表水</w:t>
            </w:r>
          </w:p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质量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达到或好于Ⅲ类水体比例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劣Ⅴ类水体比例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主要污</w:t>
            </w:r>
          </w:p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染物排</w:t>
            </w:r>
          </w:p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放总量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化学需氧量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万吨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0.21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氨氮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万吨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0.047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VOC</w:t>
            </w:r>
            <w:r>
              <w:rPr>
                <w:rFonts w:hint="eastAsia" w:ascii="Times New Roman" w:hAnsi="Times New Roman" w:eastAsia="文星仿宋"/>
                <w:color w:val="auto"/>
                <w:highlight w:val="none"/>
                <w:vertAlign w:val="subscript"/>
              </w:rPr>
              <w:t>S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万吨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氮氧化物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万吨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0.13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214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0.1205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-7.3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1"/>
                <w:highlight w:val="none"/>
              </w:rPr>
              <w:t>完成市下达任务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森林</w:t>
            </w:r>
          </w:p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发展</w:t>
            </w: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森林覆盖率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%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77.46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0.12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77.58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77.48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0.02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77.5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3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文星黑体"/>
                <w:color w:val="auto"/>
                <w:highlight w:val="none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</w:p>
        </w:tc>
        <w:tc>
          <w:tcPr>
            <w:tcW w:w="2898" w:type="dxa"/>
            <w:vAlign w:val="center"/>
          </w:tcPr>
          <w:p>
            <w:pPr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森林蓄积量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文星仿宋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文星仿宋"/>
                <w:color w:val="auto"/>
                <w:highlight w:val="none"/>
              </w:rPr>
              <w:t>亿立方米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0.0798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3.6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0.0822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0.0831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0.0838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——</w:t>
            </w:r>
          </w:p>
        </w:tc>
      </w:tr>
    </w:tbl>
    <w:p>
      <w:pPr>
        <w:spacing w:line="400" w:lineRule="exact"/>
        <w:ind w:firstLine="420" w:firstLineChars="200"/>
        <w:jc w:val="left"/>
        <w:rPr>
          <w:rFonts w:ascii="Times New Roman" w:hAnsi="Times New Roman" w:eastAsia="文星仿宋"/>
          <w:color w:val="auto"/>
          <w:highlight w:val="none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613715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  <w:tabs>
        <w:tab w:val="left" w:pos="4755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hideSpellingErrors/>
  <w:hideGrammaticalErrors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4NTIyMDQ5ODJhZTk0MTBiMWFjOGQyNzQzNTdlNzMifQ=="/>
  </w:docVars>
  <w:rsids>
    <w:rsidRoot w:val="0058528A"/>
    <w:rsid w:val="00001C8D"/>
    <w:rsid w:val="00003A18"/>
    <w:rsid w:val="00004C8B"/>
    <w:rsid w:val="00007323"/>
    <w:rsid w:val="000119B5"/>
    <w:rsid w:val="000175AF"/>
    <w:rsid w:val="000179EE"/>
    <w:rsid w:val="0002166A"/>
    <w:rsid w:val="00022688"/>
    <w:rsid w:val="00022F9A"/>
    <w:rsid w:val="00030569"/>
    <w:rsid w:val="00030854"/>
    <w:rsid w:val="00030DBD"/>
    <w:rsid w:val="00037A32"/>
    <w:rsid w:val="00042727"/>
    <w:rsid w:val="00046BF4"/>
    <w:rsid w:val="0005260A"/>
    <w:rsid w:val="00052E8D"/>
    <w:rsid w:val="00053786"/>
    <w:rsid w:val="0006044D"/>
    <w:rsid w:val="00060AED"/>
    <w:rsid w:val="00061D5E"/>
    <w:rsid w:val="00064423"/>
    <w:rsid w:val="000672E3"/>
    <w:rsid w:val="0007102A"/>
    <w:rsid w:val="00071135"/>
    <w:rsid w:val="00075BF3"/>
    <w:rsid w:val="000775B8"/>
    <w:rsid w:val="000777B7"/>
    <w:rsid w:val="00077FD3"/>
    <w:rsid w:val="00082A86"/>
    <w:rsid w:val="00087868"/>
    <w:rsid w:val="00090D4A"/>
    <w:rsid w:val="00090E74"/>
    <w:rsid w:val="000940AB"/>
    <w:rsid w:val="00095C0D"/>
    <w:rsid w:val="000A554C"/>
    <w:rsid w:val="000B3CFD"/>
    <w:rsid w:val="000B4B8F"/>
    <w:rsid w:val="000B4FD7"/>
    <w:rsid w:val="000C04D2"/>
    <w:rsid w:val="000C131B"/>
    <w:rsid w:val="000C5782"/>
    <w:rsid w:val="000C7477"/>
    <w:rsid w:val="000D0261"/>
    <w:rsid w:val="000D0C5D"/>
    <w:rsid w:val="000D1FAB"/>
    <w:rsid w:val="000D22B5"/>
    <w:rsid w:val="000D2DEF"/>
    <w:rsid w:val="000D3E56"/>
    <w:rsid w:val="000D3F14"/>
    <w:rsid w:val="000D5D08"/>
    <w:rsid w:val="000E029D"/>
    <w:rsid w:val="000E1115"/>
    <w:rsid w:val="000E1E70"/>
    <w:rsid w:val="000E6650"/>
    <w:rsid w:val="000E6D5D"/>
    <w:rsid w:val="000F0B9E"/>
    <w:rsid w:val="000F5197"/>
    <w:rsid w:val="000F55BA"/>
    <w:rsid w:val="00100398"/>
    <w:rsid w:val="00101B15"/>
    <w:rsid w:val="001023FC"/>
    <w:rsid w:val="0010428E"/>
    <w:rsid w:val="001048A1"/>
    <w:rsid w:val="00122A0A"/>
    <w:rsid w:val="0012418F"/>
    <w:rsid w:val="00127AA4"/>
    <w:rsid w:val="0013273A"/>
    <w:rsid w:val="001329E3"/>
    <w:rsid w:val="001340FD"/>
    <w:rsid w:val="00134693"/>
    <w:rsid w:val="0013604B"/>
    <w:rsid w:val="001366FD"/>
    <w:rsid w:val="00136E99"/>
    <w:rsid w:val="0013701E"/>
    <w:rsid w:val="00137066"/>
    <w:rsid w:val="00140932"/>
    <w:rsid w:val="00142ABA"/>
    <w:rsid w:val="001432D0"/>
    <w:rsid w:val="00144490"/>
    <w:rsid w:val="00144C90"/>
    <w:rsid w:val="001459A5"/>
    <w:rsid w:val="00145E86"/>
    <w:rsid w:val="00147E09"/>
    <w:rsid w:val="00156A85"/>
    <w:rsid w:val="0015730C"/>
    <w:rsid w:val="001577BD"/>
    <w:rsid w:val="00160CBA"/>
    <w:rsid w:val="0016266E"/>
    <w:rsid w:val="00162BDF"/>
    <w:rsid w:val="0016321A"/>
    <w:rsid w:val="00165344"/>
    <w:rsid w:val="001657AA"/>
    <w:rsid w:val="001665BB"/>
    <w:rsid w:val="00166F62"/>
    <w:rsid w:val="001700E1"/>
    <w:rsid w:val="001708F7"/>
    <w:rsid w:val="00170A6F"/>
    <w:rsid w:val="00171AB8"/>
    <w:rsid w:val="00173FEF"/>
    <w:rsid w:val="0017457F"/>
    <w:rsid w:val="00176EF8"/>
    <w:rsid w:val="00190515"/>
    <w:rsid w:val="00192408"/>
    <w:rsid w:val="00194B95"/>
    <w:rsid w:val="00197230"/>
    <w:rsid w:val="00197FD4"/>
    <w:rsid w:val="001A279F"/>
    <w:rsid w:val="001A374F"/>
    <w:rsid w:val="001A5FE6"/>
    <w:rsid w:val="001C17B3"/>
    <w:rsid w:val="001C199F"/>
    <w:rsid w:val="001C22B9"/>
    <w:rsid w:val="001C3A00"/>
    <w:rsid w:val="001C4781"/>
    <w:rsid w:val="001C482B"/>
    <w:rsid w:val="001C5FC3"/>
    <w:rsid w:val="001C7B04"/>
    <w:rsid w:val="001D727D"/>
    <w:rsid w:val="001E0679"/>
    <w:rsid w:val="001E0C9E"/>
    <w:rsid w:val="001E5773"/>
    <w:rsid w:val="001F0446"/>
    <w:rsid w:val="001F2A13"/>
    <w:rsid w:val="001F3E93"/>
    <w:rsid w:val="001F42D8"/>
    <w:rsid w:val="001F4879"/>
    <w:rsid w:val="001F6E0C"/>
    <w:rsid w:val="00200A2A"/>
    <w:rsid w:val="00201982"/>
    <w:rsid w:val="00203887"/>
    <w:rsid w:val="00203E92"/>
    <w:rsid w:val="00206CFE"/>
    <w:rsid w:val="00207A99"/>
    <w:rsid w:val="00210446"/>
    <w:rsid w:val="0021409B"/>
    <w:rsid w:val="00214792"/>
    <w:rsid w:val="00215CA1"/>
    <w:rsid w:val="00217FA9"/>
    <w:rsid w:val="002209B3"/>
    <w:rsid w:val="00221630"/>
    <w:rsid w:val="002226EF"/>
    <w:rsid w:val="00230A88"/>
    <w:rsid w:val="00232253"/>
    <w:rsid w:val="0023248E"/>
    <w:rsid w:val="00234015"/>
    <w:rsid w:val="00236BCD"/>
    <w:rsid w:val="0023798E"/>
    <w:rsid w:val="002403CE"/>
    <w:rsid w:val="00240635"/>
    <w:rsid w:val="00241401"/>
    <w:rsid w:val="002468A3"/>
    <w:rsid w:val="00246975"/>
    <w:rsid w:val="00246A35"/>
    <w:rsid w:val="00250A49"/>
    <w:rsid w:val="00254168"/>
    <w:rsid w:val="002561B0"/>
    <w:rsid w:val="00256ABD"/>
    <w:rsid w:val="0025799B"/>
    <w:rsid w:val="002618C9"/>
    <w:rsid w:val="00262120"/>
    <w:rsid w:val="002621A7"/>
    <w:rsid w:val="00265C4B"/>
    <w:rsid w:val="00271063"/>
    <w:rsid w:val="00272F1F"/>
    <w:rsid w:val="002732EB"/>
    <w:rsid w:val="0027384B"/>
    <w:rsid w:val="002756AB"/>
    <w:rsid w:val="002805CA"/>
    <w:rsid w:val="00280AB4"/>
    <w:rsid w:val="00281D39"/>
    <w:rsid w:val="00284B78"/>
    <w:rsid w:val="00284C10"/>
    <w:rsid w:val="00284F63"/>
    <w:rsid w:val="0028620D"/>
    <w:rsid w:val="00286EBC"/>
    <w:rsid w:val="002905E3"/>
    <w:rsid w:val="00291B83"/>
    <w:rsid w:val="00293741"/>
    <w:rsid w:val="002A3565"/>
    <w:rsid w:val="002A53E7"/>
    <w:rsid w:val="002A69FB"/>
    <w:rsid w:val="002A74C2"/>
    <w:rsid w:val="002A7DBE"/>
    <w:rsid w:val="002B0713"/>
    <w:rsid w:val="002B0F23"/>
    <w:rsid w:val="002B149E"/>
    <w:rsid w:val="002B1862"/>
    <w:rsid w:val="002B32CA"/>
    <w:rsid w:val="002B55F5"/>
    <w:rsid w:val="002B5CF6"/>
    <w:rsid w:val="002C1EC7"/>
    <w:rsid w:val="002C1F4B"/>
    <w:rsid w:val="002C35A2"/>
    <w:rsid w:val="002C4682"/>
    <w:rsid w:val="002C7A8B"/>
    <w:rsid w:val="002D156B"/>
    <w:rsid w:val="002D4577"/>
    <w:rsid w:val="002D560A"/>
    <w:rsid w:val="002E190C"/>
    <w:rsid w:val="002E289C"/>
    <w:rsid w:val="002F2B31"/>
    <w:rsid w:val="002F32BA"/>
    <w:rsid w:val="002F48A9"/>
    <w:rsid w:val="00300974"/>
    <w:rsid w:val="00303835"/>
    <w:rsid w:val="00303A57"/>
    <w:rsid w:val="0030455B"/>
    <w:rsid w:val="003050A4"/>
    <w:rsid w:val="00305EA1"/>
    <w:rsid w:val="003060DA"/>
    <w:rsid w:val="0030628B"/>
    <w:rsid w:val="0030755E"/>
    <w:rsid w:val="003104E2"/>
    <w:rsid w:val="00312794"/>
    <w:rsid w:val="00312854"/>
    <w:rsid w:val="00313739"/>
    <w:rsid w:val="00313903"/>
    <w:rsid w:val="00313ECD"/>
    <w:rsid w:val="00316158"/>
    <w:rsid w:val="00316708"/>
    <w:rsid w:val="003202AE"/>
    <w:rsid w:val="003228CB"/>
    <w:rsid w:val="00322D22"/>
    <w:rsid w:val="00324051"/>
    <w:rsid w:val="003271B2"/>
    <w:rsid w:val="0033190B"/>
    <w:rsid w:val="00332F5A"/>
    <w:rsid w:val="00334A8A"/>
    <w:rsid w:val="003350B6"/>
    <w:rsid w:val="0033526D"/>
    <w:rsid w:val="00335BBA"/>
    <w:rsid w:val="00336594"/>
    <w:rsid w:val="00337839"/>
    <w:rsid w:val="00340738"/>
    <w:rsid w:val="00340993"/>
    <w:rsid w:val="003424EA"/>
    <w:rsid w:val="00351B42"/>
    <w:rsid w:val="00352C29"/>
    <w:rsid w:val="00354DF8"/>
    <w:rsid w:val="00355B82"/>
    <w:rsid w:val="0035752B"/>
    <w:rsid w:val="00360696"/>
    <w:rsid w:val="0036221D"/>
    <w:rsid w:val="0036225C"/>
    <w:rsid w:val="00363E8D"/>
    <w:rsid w:val="003648B6"/>
    <w:rsid w:val="003655A6"/>
    <w:rsid w:val="003671A3"/>
    <w:rsid w:val="0036738F"/>
    <w:rsid w:val="003707DD"/>
    <w:rsid w:val="00370E2F"/>
    <w:rsid w:val="0037375A"/>
    <w:rsid w:val="0037564A"/>
    <w:rsid w:val="00375D38"/>
    <w:rsid w:val="00375E2B"/>
    <w:rsid w:val="0038024A"/>
    <w:rsid w:val="00381EDE"/>
    <w:rsid w:val="0038619E"/>
    <w:rsid w:val="00387226"/>
    <w:rsid w:val="003922CF"/>
    <w:rsid w:val="00394D99"/>
    <w:rsid w:val="00395E2C"/>
    <w:rsid w:val="00396C1F"/>
    <w:rsid w:val="00397C68"/>
    <w:rsid w:val="003A2E4B"/>
    <w:rsid w:val="003A5E79"/>
    <w:rsid w:val="003A680B"/>
    <w:rsid w:val="003A6C39"/>
    <w:rsid w:val="003A7CE5"/>
    <w:rsid w:val="003B3754"/>
    <w:rsid w:val="003B3810"/>
    <w:rsid w:val="003B4C91"/>
    <w:rsid w:val="003B5578"/>
    <w:rsid w:val="003C0A69"/>
    <w:rsid w:val="003C7840"/>
    <w:rsid w:val="003D15EE"/>
    <w:rsid w:val="003D3BB0"/>
    <w:rsid w:val="003D6BAC"/>
    <w:rsid w:val="003D710A"/>
    <w:rsid w:val="003D7910"/>
    <w:rsid w:val="003D7B06"/>
    <w:rsid w:val="003E2295"/>
    <w:rsid w:val="003E4314"/>
    <w:rsid w:val="003E4AD8"/>
    <w:rsid w:val="003E7C4E"/>
    <w:rsid w:val="003F21E4"/>
    <w:rsid w:val="003F3B76"/>
    <w:rsid w:val="003F5D26"/>
    <w:rsid w:val="003F7346"/>
    <w:rsid w:val="00401962"/>
    <w:rsid w:val="00401D7B"/>
    <w:rsid w:val="0040223D"/>
    <w:rsid w:val="004026B4"/>
    <w:rsid w:val="00405820"/>
    <w:rsid w:val="004139EC"/>
    <w:rsid w:val="00413A57"/>
    <w:rsid w:val="00415CC1"/>
    <w:rsid w:val="00415F53"/>
    <w:rsid w:val="0041771F"/>
    <w:rsid w:val="00417C08"/>
    <w:rsid w:val="004210D1"/>
    <w:rsid w:val="0042646E"/>
    <w:rsid w:val="00426FEF"/>
    <w:rsid w:val="00435283"/>
    <w:rsid w:val="004359E5"/>
    <w:rsid w:val="004364E5"/>
    <w:rsid w:val="00437531"/>
    <w:rsid w:val="0043787A"/>
    <w:rsid w:val="00437AB7"/>
    <w:rsid w:val="00437AD3"/>
    <w:rsid w:val="00441CB2"/>
    <w:rsid w:val="0044215A"/>
    <w:rsid w:val="004437D4"/>
    <w:rsid w:val="00443CAF"/>
    <w:rsid w:val="004465FD"/>
    <w:rsid w:val="00446892"/>
    <w:rsid w:val="00451DEA"/>
    <w:rsid w:val="00456500"/>
    <w:rsid w:val="00456DB6"/>
    <w:rsid w:val="00456F00"/>
    <w:rsid w:val="00463550"/>
    <w:rsid w:val="00472CD3"/>
    <w:rsid w:val="00474938"/>
    <w:rsid w:val="0048005C"/>
    <w:rsid w:val="004818E2"/>
    <w:rsid w:val="00483121"/>
    <w:rsid w:val="00486560"/>
    <w:rsid w:val="00490935"/>
    <w:rsid w:val="00492790"/>
    <w:rsid w:val="00492D4F"/>
    <w:rsid w:val="004979BB"/>
    <w:rsid w:val="004A1723"/>
    <w:rsid w:val="004A2072"/>
    <w:rsid w:val="004A4D31"/>
    <w:rsid w:val="004A568C"/>
    <w:rsid w:val="004A7807"/>
    <w:rsid w:val="004B08B5"/>
    <w:rsid w:val="004B14E9"/>
    <w:rsid w:val="004B1E3F"/>
    <w:rsid w:val="004B2512"/>
    <w:rsid w:val="004B33A3"/>
    <w:rsid w:val="004B3537"/>
    <w:rsid w:val="004B4620"/>
    <w:rsid w:val="004B5D6D"/>
    <w:rsid w:val="004B6723"/>
    <w:rsid w:val="004B6A8D"/>
    <w:rsid w:val="004B7CBA"/>
    <w:rsid w:val="004C0D95"/>
    <w:rsid w:val="004C1D71"/>
    <w:rsid w:val="004C204A"/>
    <w:rsid w:val="004C2BF4"/>
    <w:rsid w:val="004C4286"/>
    <w:rsid w:val="004C454C"/>
    <w:rsid w:val="004C4935"/>
    <w:rsid w:val="004C7334"/>
    <w:rsid w:val="004D0C30"/>
    <w:rsid w:val="004D17C0"/>
    <w:rsid w:val="004D1C01"/>
    <w:rsid w:val="004D32BF"/>
    <w:rsid w:val="004D34D6"/>
    <w:rsid w:val="004D4510"/>
    <w:rsid w:val="004D4A8A"/>
    <w:rsid w:val="004E4144"/>
    <w:rsid w:val="004E43BF"/>
    <w:rsid w:val="004E62EC"/>
    <w:rsid w:val="004F4714"/>
    <w:rsid w:val="004F5CB5"/>
    <w:rsid w:val="00502D8D"/>
    <w:rsid w:val="0050387F"/>
    <w:rsid w:val="00506E21"/>
    <w:rsid w:val="00507E80"/>
    <w:rsid w:val="00507F24"/>
    <w:rsid w:val="00512C38"/>
    <w:rsid w:val="00515215"/>
    <w:rsid w:val="0052061C"/>
    <w:rsid w:val="00521BB5"/>
    <w:rsid w:val="00522949"/>
    <w:rsid w:val="005300F6"/>
    <w:rsid w:val="005354C9"/>
    <w:rsid w:val="00535AC6"/>
    <w:rsid w:val="00535B96"/>
    <w:rsid w:val="00535EE5"/>
    <w:rsid w:val="0054182E"/>
    <w:rsid w:val="00541CDF"/>
    <w:rsid w:val="005422BB"/>
    <w:rsid w:val="00543E52"/>
    <w:rsid w:val="00544B55"/>
    <w:rsid w:val="00544C34"/>
    <w:rsid w:val="005466BB"/>
    <w:rsid w:val="00551706"/>
    <w:rsid w:val="0055211C"/>
    <w:rsid w:val="00556817"/>
    <w:rsid w:val="00561E5F"/>
    <w:rsid w:val="00563DF3"/>
    <w:rsid w:val="00563FA3"/>
    <w:rsid w:val="00566A29"/>
    <w:rsid w:val="00566DC2"/>
    <w:rsid w:val="00571E58"/>
    <w:rsid w:val="005732E3"/>
    <w:rsid w:val="005800AE"/>
    <w:rsid w:val="00580F9E"/>
    <w:rsid w:val="0058528A"/>
    <w:rsid w:val="0058637A"/>
    <w:rsid w:val="005865BF"/>
    <w:rsid w:val="00586C9E"/>
    <w:rsid w:val="00587056"/>
    <w:rsid w:val="0058772D"/>
    <w:rsid w:val="00590217"/>
    <w:rsid w:val="00590A59"/>
    <w:rsid w:val="005940F7"/>
    <w:rsid w:val="00594FA3"/>
    <w:rsid w:val="00595F03"/>
    <w:rsid w:val="005A4B39"/>
    <w:rsid w:val="005A4F20"/>
    <w:rsid w:val="005B10EC"/>
    <w:rsid w:val="005B29BF"/>
    <w:rsid w:val="005B5AEA"/>
    <w:rsid w:val="005B7422"/>
    <w:rsid w:val="005C5435"/>
    <w:rsid w:val="005C5D57"/>
    <w:rsid w:val="005D0243"/>
    <w:rsid w:val="005D1291"/>
    <w:rsid w:val="005D3125"/>
    <w:rsid w:val="005D419A"/>
    <w:rsid w:val="005D5A20"/>
    <w:rsid w:val="005E064E"/>
    <w:rsid w:val="005E3E5A"/>
    <w:rsid w:val="005E635D"/>
    <w:rsid w:val="005F0372"/>
    <w:rsid w:val="005F50B4"/>
    <w:rsid w:val="005F794C"/>
    <w:rsid w:val="005F7B0C"/>
    <w:rsid w:val="005F7DFA"/>
    <w:rsid w:val="006015E7"/>
    <w:rsid w:val="0060270B"/>
    <w:rsid w:val="00604555"/>
    <w:rsid w:val="00605506"/>
    <w:rsid w:val="006060A8"/>
    <w:rsid w:val="00607EF8"/>
    <w:rsid w:val="006141DA"/>
    <w:rsid w:val="00614314"/>
    <w:rsid w:val="00614E9B"/>
    <w:rsid w:val="0061500A"/>
    <w:rsid w:val="00615846"/>
    <w:rsid w:val="00617152"/>
    <w:rsid w:val="00617456"/>
    <w:rsid w:val="00626726"/>
    <w:rsid w:val="006278B2"/>
    <w:rsid w:val="006279EA"/>
    <w:rsid w:val="006308DE"/>
    <w:rsid w:val="00630E8F"/>
    <w:rsid w:val="00631F4A"/>
    <w:rsid w:val="00632D99"/>
    <w:rsid w:val="00633670"/>
    <w:rsid w:val="0063466C"/>
    <w:rsid w:val="00635EE4"/>
    <w:rsid w:val="0063603E"/>
    <w:rsid w:val="00636D07"/>
    <w:rsid w:val="00640EF3"/>
    <w:rsid w:val="00641319"/>
    <w:rsid w:val="006429AE"/>
    <w:rsid w:val="006432EE"/>
    <w:rsid w:val="006447D2"/>
    <w:rsid w:val="00645505"/>
    <w:rsid w:val="00646B52"/>
    <w:rsid w:val="00647C4C"/>
    <w:rsid w:val="00651A34"/>
    <w:rsid w:val="00651BC4"/>
    <w:rsid w:val="00654FAC"/>
    <w:rsid w:val="0066024B"/>
    <w:rsid w:val="00661CDA"/>
    <w:rsid w:val="0066207C"/>
    <w:rsid w:val="00664534"/>
    <w:rsid w:val="0066470F"/>
    <w:rsid w:val="00664E08"/>
    <w:rsid w:val="0066722E"/>
    <w:rsid w:val="006677A2"/>
    <w:rsid w:val="00667ACB"/>
    <w:rsid w:val="00674074"/>
    <w:rsid w:val="00677F86"/>
    <w:rsid w:val="00684B08"/>
    <w:rsid w:val="00696411"/>
    <w:rsid w:val="00696FD0"/>
    <w:rsid w:val="006A20D3"/>
    <w:rsid w:val="006A418D"/>
    <w:rsid w:val="006B096D"/>
    <w:rsid w:val="006B228F"/>
    <w:rsid w:val="006B42A8"/>
    <w:rsid w:val="006B568F"/>
    <w:rsid w:val="006B6BD0"/>
    <w:rsid w:val="006B7162"/>
    <w:rsid w:val="006B7BD2"/>
    <w:rsid w:val="006C04AA"/>
    <w:rsid w:val="006C152B"/>
    <w:rsid w:val="006C304B"/>
    <w:rsid w:val="006C3B0C"/>
    <w:rsid w:val="006C48CE"/>
    <w:rsid w:val="006C57C2"/>
    <w:rsid w:val="006D01A6"/>
    <w:rsid w:val="006D30C1"/>
    <w:rsid w:val="006D6752"/>
    <w:rsid w:val="006D6E57"/>
    <w:rsid w:val="006E0ADB"/>
    <w:rsid w:val="006E628C"/>
    <w:rsid w:val="006E6BB0"/>
    <w:rsid w:val="006F1F35"/>
    <w:rsid w:val="006F4747"/>
    <w:rsid w:val="006F5421"/>
    <w:rsid w:val="006F6C86"/>
    <w:rsid w:val="006F7FA9"/>
    <w:rsid w:val="007007E0"/>
    <w:rsid w:val="00701CDE"/>
    <w:rsid w:val="00704524"/>
    <w:rsid w:val="007056A7"/>
    <w:rsid w:val="00706A66"/>
    <w:rsid w:val="00712E92"/>
    <w:rsid w:val="007131CD"/>
    <w:rsid w:val="00714201"/>
    <w:rsid w:val="00723797"/>
    <w:rsid w:val="00724FE2"/>
    <w:rsid w:val="007266E4"/>
    <w:rsid w:val="00726B50"/>
    <w:rsid w:val="00726D37"/>
    <w:rsid w:val="007273C4"/>
    <w:rsid w:val="00732DEC"/>
    <w:rsid w:val="00733245"/>
    <w:rsid w:val="007332AD"/>
    <w:rsid w:val="0074267A"/>
    <w:rsid w:val="007439C5"/>
    <w:rsid w:val="007439CA"/>
    <w:rsid w:val="00743DDF"/>
    <w:rsid w:val="00745441"/>
    <w:rsid w:val="00746C0B"/>
    <w:rsid w:val="00750424"/>
    <w:rsid w:val="00750A02"/>
    <w:rsid w:val="00751A9E"/>
    <w:rsid w:val="00751F9C"/>
    <w:rsid w:val="00752D1F"/>
    <w:rsid w:val="00753350"/>
    <w:rsid w:val="00754E78"/>
    <w:rsid w:val="00756F51"/>
    <w:rsid w:val="0075717C"/>
    <w:rsid w:val="00757790"/>
    <w:rsid w:val="00757BF4"/>
    <w:rsid w:val="007608F4"/>
    <w:rsid w:val="00760FBA"/>
    <w:rsid w:val="00763C18"/>
    <w:rsid w:val="00763C1F"/>
    <w:rsid w:val="00764DDA"/>
    <w:rsid w:val="0076672F"/>
    <w:rsid w:val="007670EE"/>
    <w:rsid w:val="00771BE4"/>
    <w:rsid w:val="00773132"/>
    <w:rsid w:val="007755DD"/>
    <w:rsid w:val="00780FBA"/>
    <w:rsid w:val="00783031"/>
    <w:rsid w:val="00784943"/>
    <w:rsid w:val="0079017E"/>
    <w:rsid w:val="00793BCF"/>
    <w:rsid w:val="00797CC3"/>
    <w:rsid w:val="007A15D4"/>
    <w:rsid w:val="007A2B2D"/>
    <w:rsid w:val="007A6A2A"/>
    <w:rsid w:val="007A6DCB"/>
    <w:rsid w:val="007B052C"/>
    <w:rsid w:val="007B1093"/>
    <w:rsid w:val="007B1197"/>
    <w:rsid w:val="007B1C59"/>
    <w:rsid w:val="007B4514"/>
    <w:rsid w:val="007B773C"/>
    <w:rsid w:val="007C08E5"/>
    <w:rsid w:val="007C2588"/>
    <w:rsid w:val="007C5C4E"/>
    <w:rsid w:val="007C5CB7"/>
    <w:rsid w:val="007D2D8D"/>
    <w:rsid w:val="007D3084"/>
    <w:rsid w:val="007D3B10"/>
    <w:rsid w:val="007D5A89"/>
    <w:rsid w:val="007D6930"/>
    <w:rsid w:val="007D70A1"/>
    <w:rsid w:val="007E12D3"/>
    <w:rsid w:val="007E1327"/>
    <w:rsid w:val="007E1391"/>
    <w:rsid w:val="007E393E"/>
    <w:rsid w:val="007E419B"/>
    <w:rsid w:val="007E4478"/>
    <w:rsid w:val="007E622A"/>
    <w:rsid w:val="007F02E5"/>
    <w:rsid w:val="007F07DD"/>
    <w:rsid w:val="007F1540"/>
    <w:rsid w:val="007F1AF2"/>
    <w:rsid w:val="007F257F"/>
    <w:rsid w:val="007F485A"/>
    <w:rsid w:val="007F5BAD"/>
    <w:rsid w:val="007F5BE7"/>
    <w:rsid w:val="00801BA8"/>
    <w:rsid w:val="00802F16"/>
    <w:rsid w:val="0080415D"/>
    <w:rsid w:val="00806863"/>
    <w:rsid w:val="00807751"/>
    <w:rsid w:val="00811D1F"/>
    <w:rsid w:val="00813366"/>
    <w:rsid w:val="0082103E"/>
    <w:rsid w:val="0082259C"/>
    <w:rsid w:val="008246EC"/>
    <w:rsid w:val="00826128"/>
    <w:rsid w:val="0082771B"/>
    <w:rsid w:val="00827736"/>
    <w:rsid w:val="00831EE6"/>
    <w:rsid w:val="008320CB"/>
    <w:rsid w:val="00836857"/>
    <w:rsid w:val="008404C6"/>
    <w:rsid w:val="00841AD9"/>
    <w:rsid w:val="00843283"/>
    <w:rsid w:val="00843CB7"/>
    <w:rsid w:val="008448A6"/>
    <w:rsid w:val="00845D93"/>
    <w:rsid w:val="00850524"/>
    <w:rsid w:val="00850C6D"/>
    <w:rsid w:val="00851A1E"/>
    <w:rsid w:val="008536CB"/>
    <w:rsid w:val="008548FD"/>
    <w:rsid w:val="00855A08"/>
    <w:rsid w:val="008561AF"/>
    <w:rsid w:val="008611F1"/>
    <w:rsid w:val="0086208D"/>
    <w:rsid w:val="008646C2"/>
    <w:rsid w:val="008650BE"/>
    <w:rsid w:val="008657F1"/>
    <w:rsid w:val="00874EE8"/>
    <w:rsid w:val="00874F20"/>
    <w:rsid w:val="008771E0"/>
    <w:rsid w:val="008803EA"/>
    <w:rsid w:val="008808FA"/>
    <w:rsid w:val="00881A23"/>
    <w:rsid w:val="00882124"/>
    <w:rsid w:val="00884E20"/>
    <w:rsid w:val="00885F88"/>
    <w:rsid w:val="008911DC"/>
    <w:rsid w:val="00896BBA"/>
    <w:rsid w:val="00896DDA"/>
    <w:rsid w:val="008A036D"/>
    <w:rsid w:val="008A17CA"/>
    <w:rsid w:val="008A286C"/>
    <w:rsid w:val="008A3865"/>
    <w:rsid w:val="008A6E31"/>
    <w:rsid w:val="008B042E"/>
    <w:rsid w:val="008B0986"/>
    <w:rsid w:val="008B1880"/>
    <w:rsid w:val="008B2506"/>
    <w:rsid w:val="008B2F73"/>
    <w:rsid w:val="008B6883"/>
    <w:rsid w:val="008B71E8"/>
    <w:rsid w:val="008C2742"/>
    <w:rsid w:val="008C3069"/>
    <w:rsid w:val="008C3D3F"/>
    <w:rsid w:val="008C5511"/>
    <w:rsid w:val="008C6829"/>
    <w:rsid w:val="008C7BEB"/>
    <w:rsid w:val="008D02E3"/>
    <w:rsid w:val="008D05CA"/>
    <w:rsid w:val="008E1EF8"/>
    <w:rsid w:val="008E2FA4"/>
    <w:rsid w:val="008E67F9"/>
    <w:rsid w:val="008E69B6"/>
    <w:rsid w:val="008F07F7"/>
    <w:rsid w:val="008F0F64"/>
    <w:rsid w:val="008F303F"/>
    <w:rsid w:val="008F34F7"/>
    <w:rsid w:val="008F5D09"/>
    <w:rsid w:val="008F7CE6"/>
    <w:rsid w:val="00900D2A"/>
    <w:rsid w:val="00902AAA"/>
    <w:rsid w:val="009069C8"/>
    <w:rsid w:val="009076F8"/>
    <w:rsid w:val="00910A70"/>
    <w:rsid w:val="00911855"/>
    <w:rsid w:val="009123DF"/>
    <w:rsid w:val="00914623"/>
    <w:rsid w:val="0091631B"/>
    <w:rsid w:val="009168C0"/>
    <w:rsid w:val="0092242F"/>
    <w:rsid w:val="0092534D"/>
    <w:rsid w:val="009254FC"/>
    <w:rsid w:val="00926050"/>
    <w:rsid w:val="00927533"/>
    <w:rsid w:val="0093109F"/>
    <w:rsid w:val="00932F33"/>
    <w:rsid w:val="009368D0"/>
    <w:rsid w:val="0093743C"/>
    <w:rsid w:val="00937865"/>
    <w:rsid w:val="00937DF7"/>
    <w:rsid w:val="00941E7C"/>
    <w:rsid w:val="00947482"/>
    <w:rsid w:val="009508D7"/>
    <w:rsid w:val="00952230"/>
    <w:rsid w:val="00952B07"/>
    <w:rsid w:val="00952D2D"/>
    <w:rsid w:val="009546D0"/>
    <w:rsid w:val="00955013"/>
    <w:rsid w:val="00956F06"/>
    <w:rsid w:val="00962620"/>
    <w:rsid w:val="00972343"/>
    <w:rsid w:val="00972E7F"/>
    <w:rsid w:val="009739FF"/>
    <w:rsid w:val="00974C00"/>
    <w:rsid w:val="00974D64"/>
    <w:rsid w:val="00984186"/>
    <w:rsid w:val="0098514A"/>
    <w:rsid w:val="009863FA"/>
    <w:rsid w:val="009943CF"/>
    <w:rsid w:val="00995B58"/>
    <w:rsid w:val="009A31E9"/>
    <w:rsid w:val="009A3D25"/>
    <w:rsid w:val="009A50FD"/>
    <w:rsid w:val="009A6757"/>
    <w:rsid w:val="009A78B6"/>
    <w:rsid w:val="009A7C83"/>
    <w:rsid w:val="009B0256"/>
    <w:rsid w:val="009B61D2"/>
    <w:rsid w:val="009C24F7"/>
    <w:rsid w:val="009C2C88"/>
    <w:rsid w:val="009C7583"/>
    <w:rsid w:val="009D00A0"/>
    <w:rsid w:val="009D13F6"/>
    <w:rsid w:val="009D5DA7"/>
    <w:rsid w:val="009E31E6"/>
    <w:rsid w:val="009E3D3B"/>
    <w:rsid w:val="009E4F65"/>
    <w:rsid w:val="009E762B"/>
    <w:rsid w:val="009F1DC9"/>
    <w:rsid w:val="009F20DC"/>
    <w:rsid w:val="009F49C4"/>
    <w:rsid w:val="009F5709"/>
    <w:rsid w:val="00A02055"/>
    <w:rsid w:val="00A054D6"/>
    <w:rsid w:val="00A05978"/>
    <w:rsid w:val="00A067B7"/>
    <w:rsid w:val="00A0764D"/>
    <w:rsid w:val="00A07FC5"/>
    <w:rsid w:val="00A12B6D"/>
    <w:rsid w:val="00A17540"/>
    <w:rsid w:val="00A21782"/>
    <w:rsid w:val="00A24E47"/>
    <w:rsid w:val="00A25C1F"/>
    <w:rsid w:val="00A26F24"/>
    <w:rsid w:val="00A301E5"/>
    <w:rsid w:val="00A30D3A"/>
    <w:rsid w:val="00A327F4"/>
    <w:rsid w:val="00A3447E"/>
    <w:rsid w:val="00A361C0"/>
    <w:rsid w:val="00A404FE"/>
    <w:rsid w:val="00A42F72"/>
    <w:rsid w:val="00A4416E"/>
    <w:rsid w:val="00A44AF9"/>
    <w:rsid w:val="00A460CD"/>
    <w:rsid w:val="00A46293"/>
    <w:rsid w:val="00A47AED"/>
    <w:rsid w:val="00A528E3"/>
    <w:rsid w:val="00A61F22"/>
    <w:rsid w:val="00A646AE"/>
    <w:rsid w:val="00A651F7"/>
    <w:rsid w:val="00A67C7A"/>
    <w:rsid w:val="00A705CB"/>
    <w:rsid w:val="00A70F77"/>
    <w:rsid w:val="00A75DE7"/>
    <w:rsid w:val="00A76976"/>
    <w:rsid w:val="00A82BAA"/>
    <w:rsid w:val="00A85F48"/>
    <w:rsid w:val="00A866C3"/>
    <w:rsid w:val="00A879A6"/>
    <w:rsid w:val="00A9001B"/>
    <w:rsid w:val="00AA227C"/>
    <w:rsid w:val="00AA4148"/>
    <w:rsid w:val="00AB04A8"/>
    <w:rsid w:val="00AB2A27"/>
    <w:rsid w:val="00AB54B3"/>
    <w:rsid w:val="00AB6B0B"/>
    <w:rsid w:val="00AB6B80"/>
    <w:rsid w:val="00AB7B05"/>
    <w:rsid w:val="00AB7E82"/>
    <w:rsid w:val="00AC11E5"/>
    <w:rsid w:val="00AC36B0"/>
    <w:rsid w:val="00AC649B"/>
    <w:rsid w:val="00AD2B2B"/>
    <w:rsid w:val="00AE0029"/>
    <w:rsid w:val="00AE05FE"/>
    <w:rsid w:val="00AE1518"/>
    <w:rsid w:val="00AE385A"/>
    <w:rsid w:val="00AE3B1D"/>
    <w:rsid w:val="00AE57DC"/>
    <w:rsid w:val="00AE723A"/>
    <w:rsid w:val="00AF09CA"/>
    <w:rsid w:val="00AF2C4F"/>
    <w:rsid w:val="00AF4856"/>
    <w:rsid w:val="00AF6184"/>
    <w:rsid w:val="00AF67B1"/>
    <w:rsid w:val="00AF73FF"/>
    <w:rsid w:val="00AF7CA7"/>
    <w:rsid w:val="00B00CA4"/>
    <w:rsid w:val="00B02AB8"/>
    <w:rsid w:val="00B02F52"/>
    <w:rsid w:val="00B0456E"/>
    <w:rsid w:val="00B046FD"/>
    <w:rsid w:val="00B0631E"/>
    <w:rsid w:val="00B070EB"/>
    <w:rsid w:val="00B1224B"/>
    <w:rsid w:val="00B1239D"/>
    <w:rsid w:val="00B12734"/>
    <w:rsid w:val="00B133DD"/>
    <w:rsid w:val="00B14737"/>
    <w:rsid w:val="00B15160"/>
    <w:rsid w:val="00B1775A"/>
    <w:rsid w:val="00B204F5"/>
    <w:rsid w:val="00B23FA9"/>
    <w:rsid w:val="00B25AF0"/>
    <w:rsid w:val="00B2635C"/>
    <w:rsid w:val="00B26994"/>
    <w:rsid w:val="00B32EAF"/>
    <w:rsid w:val="00B3404D"/>
    <w:rsid w:val="00B41B13"/>
    <w:rsid w:val="00B44777"/>
    <w:rsid w:val="00B44A87"/>
    <w:rsid w:val="00B45793"/>
    <w:rsid w:val="00B54643"/>
    <w:rsid w:val="00B559CC"/>
    <w:rsid w:val="00B55AFC"/>
    <w:rsid w:val="00B57438"/>
    <w:rsid w:val="00B611CB"/>
    <w:rsid w:val="00B62180"/>
    <w:rsid w:val="00B624E4"/>
    <w:rsid w:val="00B64316"/>
    <w:rsid w:val="00B6465C"/>
    <w:rsid w:val="00B731F3"/>
    <w:rsid w:val="00B75AFD"/>
    <w:rsid w:val="00B7628D"/>
    <w:rsid w:val="00B80761"/>
    <w:rsid w:val="00B81FB8"/>
    <w:rsid w:val="00B83979"/>
    <w:rsid w:val="00B83A8A"/>
    <w:rsid w:val="00B85E54"/>
    <w:rsid w:val="00B86BB6"/>
    <w:rsid w:val="00B87FD6"/>
    <w:rsid w:val="00B910D5"/>
    <w:rsid w:val="00B91A04"/>
    <w:rsid w:val="00B92872"/>
    <w:rsid w:val="00B94AB6"/>
    <w:rsid w:val="00B95167"/>
    <w:rsid w:val="00B9585B"/>
    <w:rsid w:val="00B9616D"/>
    <w:rsid w:val="00BA044F"/>
    <w:rsid w:val="00BA0DDE"/>
    <w:rsid w:val="00BA45C0"/>
    <w:rsid w:val="00BA70C5"/>
    <w:rsid w:val="00BA7B1E"/>
    <w:rsid w:val="00BA7BB3"/>
    <w:rsid w:val="00BB223D"/>
    <w:rsid w:val="00BB4754"/>
    <w:rsid w:val="00BB4C7D"/>
    <w:rsid w:val="00BB75BF"/>
    <w:rsid w:val="00BC143B"/>
    <w:rsid w:val="00BC169D"/>
    <w:rsid w:val="00BC1905"/>
    <w:rsid w:val="00BC207D"/>
    <w:rsid w:val="00BC3E61"/>
    <w:rsid w:val="00BC4E2D"/>
    <w:rsid w:val="00BC50D4"/>
    <w:rsid w:val="00BC50E5"/>
    <w:rsid w:val="00BC540A"/>
    <w:rsid w:val="00BD0B5A"/>
    <w:rsid w:val="00BD398B"/>
    <w:rsid w:val="00BD6016"/>
    <w:rsid w:val="00BD6763"/>
    <w:rsid w:val="00BD7DDE"/>
    <w:rsid w:val="00BD7EAB"/>
    <w:rsid w:val="00BE4BC5"/>
    <w:rsid w:val="00BE63C8"/>
    <w:rsid w:val="00BE63FE"/>
    <w:rsid w:val="00BF6546"/>
    <w:rsid w:val="00C0474A"/>
    <w:rsid w:val="00C062B5"/>
    <w:rsid w:val="00C07594"/>
    <w:rsid w:val="00C12ACB"/>
    <w:rsid w:val="00C130B6"/>
    <w:rsid w:val="00C14F15"/>
    <w:rsid w:val="00C16820"/>
    <w:rsid w:val="00C17D60"/>
    <w:rsid w:val="00C205B4"/>
    <w:rsid w:val="00C20C98"/>
    <w:rsid w:val="00C24A65"/>
    <w:rsid w:val="00C2555C"/>
    <w:rsid w:val="00C3082A"/>
    <w:rsid w:val="00C31F0A"/>
    <w:rsid w:val="00C32FFD"/>
    <w:rsid w:val="00C33174"/>
    <w:rsid w:val="00C33196"/>
    <w:rsid w:val="00C35426"/>
    <w:rsid w:val="00C36B6A"/>
    <w:rsid w:val="00C443CB"/>
    <w:rsid w:val="00C4464C"/>
    <w:rsid w:val="00C44CAD"/>
    <w:rsid w:val="00C44FEB"/>
    <w:rsid w:val="00C468B2"/>
    <w:rsid w:val="00C47D4B"/>
    <w:rsid w:val="00C52DB6"/>
    <w:rsid w:val="00C53130"/>
    <w:rsid w:val="00C53B4B"/>
    <w:rsid w:val="00C57A9F"/>
    <w:rsid w:val="00C60042"/>
    <w:rsid w:val="00C61EEA"/>
    <w:rsid w:val="00C656F4"/>
    <w:rsid w:val="00C6577B"/>
    <w:rsid w:val="00C660CB"/>
    <w:rsid w:val="00C670A0"/>
    <w:rsid w:val="00C71439"/>
    <w:rsid w:val="00C7195A"/>
    <w:rsid w:val="00C743E7"/>
    <w:rsid w:val="00C7465E"/>
    <w:rsid w:val="00C74D19"/>
    <w:rsid w:val="00C74FFD"/>
    <w:rsid w:val="00C8039D"/>
    <w:rsid w:val="00C84B6E"/>
    <w:rsid w:val="00C86D98"/>
    <w:rsid w:val="00C87B8F"/>
    <w:rsid w:val="00C90148"/>
    <w:rsid w:val="00C97087"/>
    <w:rsid w:val="00C97EB0"/>
    <w:rsid w:val="00CA36D0"/>
    <w:rsid w:val="00CA406B"/>
    <w:rsid w:val="00CA4643"/>
    <w:rsid w:val="00CA53D8"/>
    <w:rsid w:val="00CA554A"/>
    <w:rsid w:val="00CB03BC"/>
    <w:rsid w:val="00CB0DE0"/>
    <w:rsid w:val="00CC259E"/>
    <w:rsid w:val="00CC6C69"/>
    <w:rsid w:val="00CC6E55"/>
    <w:rsid w:val="00CC7421"/>
    <w:rsid w:val="00CD01C5"/>
    <w:rsid w:val="00CD0628"/>
    <w:rsid w:val="00CD0EC4"/>
    <w:rsid w:val="00CD3B72"/>
    <w:rsid w:val="00CD54F9"/>
    <w:rsid w:val="00CE3675"/>
    <w:rsid w:val="00CE38AE"/>
    <w:rsid w:val="00CE5704"/>
    <w:rsid w:val="00CE6FB4"/>
    <w:rsid w:val="00CE7F09"/>
    <w:rsid w:val="00CF04FA"/>
    <w:rsid w:val="00CF0F56"/>
    <w:rsid w:val="00CF3425"/>
    <w:rsid w:val="00CF7683"/>
    <w:rsid w:val="00D00986"/>
    <w:rsid w:val="00D01A83"/>
    <w:rsid w:val="00D01B31"/>
    <w:rsid w:val="00D02418"/>
    <w:rsid w:val="00D024F7"/>
    <w:rsid w:val="00D0343C"/>
    <w:rsid w:val="00D066A0"/>
    <w:rsid w:val="00D103C3"/>
    <w:rsid w:val="00D12F30"/>
    <w:rsid w:val="00D1404A"/>
    <w:rsid w:val="00D156EA"/>
    <w:rsid w:val="00D234CD"/>
    <w:rsid w:val="00D25A25"/>
    <w:rsid w:val="00D26D92"/>
    <w:rsid w:val="00D27C0D"/>
    <w:rsid w:val="00D30A03"/>
    <w:rsid w:val="00D31280"/>
    <w:rsid w:val="00D34127"/>
    <w:rsid w:val="00D3667E"/>
    <w:rsid w:val="00D3689D"/>
    <w:rsid w:val="00D37E7C"/>
    <w:rsid w:val="00D4076F"/>
    <w:rsid w:val="00D42AAC"/>
    <w:rsid w:val="00D44CE5"/>
    <w:rsid w:val="00D46BEA"/>
    <w:rsid w:val="00D5098C"/>
    <w:rsid w:val="00D522D9"/>
    <w:rsid w:val="00D53385"/>
    <w:rsid w:val="00D57A2C"/>
    <w:rsid w:val="00D57A32"/>
    <w:rsid w:val="00D60DD2"/>
    <w:rsid w:val="00D640B1"/>
    <w:rsid w:val="00D6463E"/>
    <w:rsid w:val="00D6497F"/>
    <w:rsid w:val="00D6500C"/>
    <w:rsid w:val="00D652B8"/>
    <w:rsid w:val="00D6617E"/>
    <w:rsid w:val="00D66C51"/>
    <w:rsid w:val="00D71260"/>
    <w:rsid w:val="00D77741"/>
    <w:rsid w:val="00D81E65"/>
    <w:rsid w:val="00D823C3"/>
    <w:rsid w:val="00D87C3A"/>
    <w:rsid w:val="00D969D3"/>
    <w:rsid w:val="00D97115"/>
    <w:rsid w:val="00D973DE"/>
    <w:rsid w:val="00DA0EE8"/>
    <w:rsid w:val="00DA117F"/>
    <w:rsid w:val="00DA1C91"/>
    <w:rsid w:val="00DA2B5F"/>
    <w:rsid w:val="00DA55E6"/>
    <w:rsid w:val="00DA6A13"/>
    <w:rsid w:val="00DB3D5C"/>
    <w:rsid w:val="00DB439C"/>
    <w:rsid w:val="00DB6F76"/>
    <w:rsid w:val="00DB7457"/>
    <w:rsid w:val="00DC41D1"/>
    <w:rsid w:val="00DC4ED8"/>
    <w:rsid w:val="00DC636A"/>
    <w:rsid w:val="00DD112C"/>
    <w:rsid w:val="00DD1CC4"/>
    <w:rsid w:val="00DD3082"/>
    <w:rsid w:val="00DE1F97"/>
    <w:rsid w:val="00DE2F7F"/>
    <w:rsid w:val="00DE60B4"/>
    <w:rsid w:val="00DE6974"/>
    <w:rsid w:val="00DF0DDC"/>
    <w:rsid w:val="00DF17FB"/>
    <w:rsid w:val="00DF2358"/>
    <w:rsid w:val="00DF63A3"/>
    <w:rsid w:val="00E009FD"/>
    <w:rsid w:val="00E039D0"/>
    <w:rsid w:val="00E041A1"/>
    <w:rsid w:val="00E054C0"/>
    <w:rsid w:val="00E05F9F"/>
    <w:rsid w:val="00E15C94"/>
    <w:rsid w:val="00E21722"/>
    <w:rsid w:val="00E220D5"/>
    <w:rsid w:val="00E3144E"/>
    <w:rsid w:val="00E33CD7"/>
    <w:rsid w:val="00E34EB5"/>
    <w:rsid w:val="00E36268"/>
    <w:rsid w:val="00E41456"/>
    <w:rsid w:val="00E43D0E"/>
    <w:rsid w:val="00E46BC4"/>
    <w:rsid w:val="00E47A52"/>
    <w:rsid w:val="00E47B72"/>
    <w:rsid w:val="00E50E8C"/>
    <w:rsid w:val="00E520EB"/>
    <w:rsid w:val="00E527F0"/>
    <w:rsid w:val="00E55EEC"/>
    <w:rsid w:val="00E56677"/>
    <w:rsid w:val="00E6090E"/>
    <w:rsid w:val="00E62B34"/>
    <w:rsid w:val="00E62B61"/>
    <w:rsid w:val="00E64E4F"/>
    <w:rsid w:val="00E651C9"/>
    <w:rsid w:val="00E65477"/>
    <w:rsid w:val="00E655F8"/>
    <w:rsid w:val="00E66C93"/>
    <w:rsid w:val="00E70F79"/>
    <w:rsid w:val="00E73E49"/>
    <w:rsid w:val="00E751BC"/>
    <w:rsid w:val="00E75910"/>
    <w:rsid w:val="00E75E9E"/>
    <w:rsid w:val="00E76167"/>
    <w:rsid w:val="00E769DF"/>
    <w:rsid w:val="00E76FE1"/>
    <w:rsid w:val="00E8067D"/>
    <w:rsid w:val="00E83081"/>
    <w:rsid w:val="00E84581"/>
    <w:rsid w:val="00E94E3B"/>
    <w:rsid w:val="00E96B7A"/>
    <w:rsid w:val="00E97DFC"/>
    <w:rsid w:val="00EA4693"/>
    <w:rsid w:val="00EA59E9"/>
    <w:rsid w:val="00EB0347"/>
    <w:rsid w:val="00EB1FF7"/>
    <w:rsid w:val="00EB46CB"/>
    <w:rsid w:val="00EB4A37"/>
    <w:rsid w:val="00EB506A"/>
    <w:rsid w:val="00EB55E4"/>
    <w:rsid w:val="00EB64D6"/>
    <w:rsid w:val="00EC050A"/>
    <w:rsid w:val="00EC2EA1"/>
    <w:rsid w:val="00EC3419"/>
    <w:rsid w:val="00EC58E2"/>
    <w:rsid w:val="00EC6147"/>
    <w:rsid w:val="00ED2A65"/>
    <w:rsid w:val="00ED3007"/>
    <w:rsid w:val="00ED4E8F"/>
    <w:rsid w:val="00ED66B8"/>
    <w:rsid w:val="00EE1376"/>
    <w:rsid w:val="00EE5752"/>
    <w:rsid w:val="00EF1B29"/>
    <w:rsid w:val="00EF1F8F"/>
    <w:rsid w:val="00EF24AF"/>
    <w:rsid w:val="00EF3737"/>
    <w:rsid w:val="00EF4E1D"/>
    <w:rsid w:val="00F00E6B"/>
    <w:rsid w:val="00F01CF3"/>
    <w:rsid w:val="00F04E3B"/>
    <w:rsid w:val="00F05AFC"/>
    <w:rsid w:val="00F06A80"/>
    <w:rsid w:val="00F072DB"/>
    <w:rsid w:val="00F07BE0"/>
    <w:rsid w:val="00F10DF5"/>
    <w:rsid w:val="00F11462"/>
    <w:rsid w:val="00F210FB"/>
    <w:rsid w:val="00F22505"/>
    <w:rsid w:val="00F23DD3"/>
    <w:rsid w:val="00F274F0"/>
    <w:rsid w:val="00F27F96"/>
    <w:rsid w:val="00F30280"/>
    <w:rsid w:val="00F30A35"/>
    <w:rsid w:val="00F314FD"/>
    <w:rsid w:val="00F332DB"/>
    <w:rsid w:val="00F3691B"/>
    <w:rsid w:val="00F37102"/>
    <w:rsid w:val="00F37458"/>
    <w:rsid w:val="00F43AED"/>
    <w:rsid w:val="00F464C9"/>
    <w:rsid w:val="00F51A22"/>
    <w:rsid w:val="00F51E0F"/>
    <w:rsid w:val="00F529F4"/>
    <w:rsid w:val="00F539EF"/>
    <w:rsid w:val="00F547E6"/>
    <w:rsid w:val="00F57199"/>
    <w:rsid w:val="00F61AAC"/>
    <w:rsid w:val="00F6201F"/>
    <w:rsid w:val="00F6325A"/>
    <w:rsid w:val="00F63616"/>
    <w:rsid w:val="00F64D37"/>
    <w:rsid w:val="00F6563D"/>
    <w:rsid w:val="00F66E99"/>
    <w:rsid w:val="00F71072"/>
    <w:rsid w:val="00F713EE"/>
    <w:rsid w:val="00F71F4C"/>
    <w:rsid w:val="00F74EAB"/>
    <w:rsid w:val="00F7751D"/>
    <w:rsid w:val="00F77B84"/>
    <w:rsid w:val="00F8117C"/>
    <w:rsid w:val="00F83135"/>
    <w:rsid w:val="00F840BE"/>
    <w:rsid w:val="00F853FF"/>
    <w:rsid w:val="00F87396"/>
    <w:rsid w:val="00F8754E"/>
    <w:rsid w:val="00F9440F"/>
    <w:rsid w:val="00F9462B"/>
    <w:rsid w:val="00F94C53"/>
    <w:rsid w:val="00FA05A0"/>
    <w:rsid w:val="00FA1D07"/>
    <w:rsid w:val="00FA3880"/>
    <w:rsid w:val="00FA3A59"/>
    <w:rsid w:val="00FA45E6"/>
    <w:rsid w:val="00FA464D"/>
    <w:rsid w:val="00FA4C43"/>
    <w:rsid w:val="00FA54B0"/>
    <w:rsid w:val="00FA64C1"/>
    <w:rsid w:val="00FB4639"/>
    <w:rsid w:val="00FB4BD8"/>
    <w:rsid w:val="00FB6416"/>
    <w:rsid w:val="00FC0EC5"/>
    <w:rsid w:val="00FC50B7"/>
    <w:rsid w:val="00FC7EA7"/>
    <w:rsid w:val="00FD0FDF"/>
    <w:rsid w:val="00FD2192"/>
    <w:rsid w:val="00FD379C"/>
    <w:rsid w:val="00FD4207"/>
    <w:rsid w:val="00FE0B62"/>
    <w:rsid w:val="00FE2D8E"/>
    <w:rsid w:val="00FE4E58"/>
    <w:rsid w:val="00FE6FD4"/>
    <w:rsid w:val="00FF030E"/>
    <w:rsid w:val="00FF1034"/>
    <w:rsid w:val="00FF121E"/>
    <w:rsid w:val="00FF2C95"/>
    <w:rsid w:val="00FF49C1"/>
    <w:rsid w:val="00FF51D6"/>
    <w:rsid w:val="00FF5FCA"/>
    <w:rsid w:val="00FF7089"/>
    <w:rsid w:val="00FF797F"/>
    <w:rsid w:val="022714E8"/>
    <w:rsid w:val="031A1F43"/>
    <w:rsid w:val="041D47D5"/>
    <w:rsid w:val="05C02043"/>
    <w:rsid w:val="06A94881"/>
    <w:rsid w:val="079071D4"/>
    <w:rsid w:val="07B10CFF"/>
    <w:rsid w:val="0A872D3F"/>
    <w:rsid w:val="0AB80440"/>
    <w:rsid w:val="0ABE3A12"/>
    <w:rsid w:val="0B703F6E"/>
    <w:rsid w:val="0D6D7558"/>
    <w:rsid w:val="0D83485E"/>
    <w:rsid w:val="0E6A1F98"/>
    <w:rsid w:val="0ECC257A"/>
    <w:rsid w:val="122038E9"/>
    <w:rsid w:val="129D52E8"/>
    <w:rsid w:val="14FC2287"/>
    <w:rsid w:val="15260BCF"/>
    <w:rsid w:val="167D6111"/>
    <w:rsid w:val="18862B7E"/>
    <w:rsid w:val="1ACF625C"/>
    <w:rsid w:val="1B8E6A51"/>
    <w:rsid w:val="1C801EC0"/>
    <w:rsid w:val="1D7F2669"/>
    <w:rsid w:val="1E3466F5"/>
    <w:rsid w:val="1FC81368"/>
    <w:rsid w:val="20105D11"/>
    <w:rsid w:val="21E559DB"/>
    <w:rsid w:val="243601AC"/>
    <w:rsid w:val="259D0E7A"/>
    <w:rsid w:val="27E17743"/>
    <w:rsid w:val="28243AD4"/>
    <w:rsid w:val="28BD31D1"/>
    <w:rsid w:val="28D9083E"/>
    <w:rsid w:val="291C57F7"/>
    <w:rsid w:val="2A10107F"/>
    <w:rsid w:val="2AB835C5"/>
    <w:rsid w:val="2AB83648"/>
    <w:rsid w:val="2BA04CC0"/>
    <w:rsid w:val="2BAC25E1"/>
    <w:rsid w:val="2CBE7D66"/>
    <w:rsid w:val="2DE004D6"/>
    <w:rsid w:val="2E4A71B2"/>
    <w:rsid w:val="2F6841A1"/>
    <w:rsid w:val="30761932"/>
    <w:rsid w:val="33F238E5"/>
    <w:rsid w:val="33FC2A14"/>
    <w:rsid w:val="341859AF"/>
    <w:rsid w:val="374D4804"/>
    <w:rsid w:val="38C72138"/>
    <w:rsid w:val="3ABA0A86"/>
    <w:rsid w:val="3D9C3168"/>
    <w:rsid w:val="3F0C7F79"/>
    <w:rsid w:val="3F6E2EA8"/>
    <w:rsid w:val="40926DA6"/>
    <w:rsid w:val="435C463E"/>
    <w:rsid w:val="44714838"/>
    <w:rsid w:val="44BE44DF"/>
    <w:rsid w:val="4557299B"/>
    <w:rsid w:val="48484EC2"/>
    <w:rsid w:val="48936334"/>
    <w:rsid w:val="48F919FD"/>
    <w:rsid w:val="498571EB"/>
    <w:rsid w:val="49B52F4E"/>
    <w:rsid w:val="4ADA3B6A"/>
    <w:rsid w:val="4C4C6C92"/>
    <w:rsid w:val="4F146810"/>
    <w:rsid w:val="4F2C30EB"/>
    <w:rsid w:val="4F6012CE"/>
    <w:rsid w:val="4FB61588"/>
    <w:rsid w:val="4FF70EE3"/>
    <w:rsid w:val="50A078B2"/>
    <w:rsid w:val="515151CC"/>
    <w:rsid w:val="51B7288C"/>
    <w:rsid w:val="51CF291D"/>
    <w:rsid w:val="559220F6"/>
    <w:rsid w:val="5784026C"/>
    <w:rsid w:val="57974711"/>
    <w:rsid w:val="59B2317A"/>
    <w:rsid w:val="5A6D5E72"/>
    <w:rsid w:val="5D0D1CCC"/>
    <w:rsid w:val="5DD83A27"/>
    <w:rsid w:val="5E6E2242"/>
    <w:rsid w:val="5EC11F01"/>
    <w:rsid w:val="5EF464FB"/>
    <w:rsid w:val="5F69265C"/>
    <w:rsid w:val="612002DB"/>
    <w:rsid w:val="65287AD3"/>
    <w:rsid w:val="6610682F"/>
    <w:rsid w:val="68B26F25"/>
    <w:rsid w:val="6D5E71F6"/>
    <w:rsid w:val="70AF0AEE"/>
    <w:rsid w:val="716C274F"/>
    <w:rsid w:val="71E82ADE"/>
    <w:rsid w:val="7203740F"/>
    <w:rsid w:val="72DC41E5"/>
    <w:rsid w:val="73963DC4"/>
    <w:rsid w:val="7420182F"/>
    <w:rsid w:val="75477F0F"/>
    <w:rsid w:val="7ACC3A75"/>
    <w:rsid w:val="7BD52290"/>
    <w:rsid w:val="7C0F40E4"/>
    <w:rsid w:val="7D1B3CD3"/>
    <w:rsid w:val="7DC65DD6"/>
    <w:rsid w:val="7EB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DD5-7606-449D-AE9E-3D07B3543B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1260</Words>
  <Characters>1908</Characters>
  <Lines>19</Lines>
  <Paragraphs>5</Paragraphs>
  <TotalTime>1</TotalTime>
  <ScaleCrop>false</ScaleCrop>
  <LinksUpToDate>false</LinksUpToDate>
  <CharactersWithSpaces>1913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2021-11-02T02:44:00Z</dcterms:created>
  <dc:creator>Chinese User</dc:creator>
  <cp:lastModifiedBy>夏天就在六月</cp:lastModifiedBy>
  <cp:lastPrinted>2022-05-31T01:35:09Z</cp:lastPrinted>
  <dcterms:modified xsi:type="dcterms:W3CDTF">2022-05-31T01:35:31Z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28F6ADF203D548F19427BB2D63CC2927</vt:lpwstr>
  </property>
</Properties>
</file>