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71DE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898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1768"/>
        <w:gridCol w:w="1564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76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564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39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6078AA3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0ED8B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3F484F6C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7B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082F4A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B47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511CBA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64E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5E9AE1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ADC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0EE4E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B4C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C9ABD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D65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684C1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0E6AF9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924A51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规上工业总产值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4E5F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D78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5EA1F8D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046449E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0C96C95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-2.3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C9D842">
            <w:pPr>
              <w:pStyle w:val="8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#项目投资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39F6D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97AD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20A11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5.4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89C73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-100.0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5FED3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bookmarkStart w:id="0" w:name="OLE_LINK7"/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  <w:bookmarkEnd w:id="0"/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AA9BB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56.3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561DB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-2.0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1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2456BFF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6C338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0.2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995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6.01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92EE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0.8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4FA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0.99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A060E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38.2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ACB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5.97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3A278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-24.7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BC59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2.21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8C3D4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73.4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E7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0.06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9285D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-50.6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176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B6F04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0.05</w:t>
            </w:r>
          </w:p>
        </w:tc>
        <w:tc>
          <w:tcPr>
            <w:tcW w:w="156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0BAFED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176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3CFABD1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0.91</w:t>
            </w:r>
          </w:p>
        </w:tc>
        <w:tc>
          <w:tcPr>
            <w:tcW w:w="156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043AF7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176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0.36</w:t>
            </w:r>
          </w:p>
        </w:tc>
        <w:tc>
          <w:tcPr>
            <w:tcW w:w="1564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5.8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891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3"/>
        <w:gridCol w:w="2700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  <w:jc w:val="center"/>
        </w:trPr>
        <w:tc>
          <w:tcPr>
            <w:tcW w:w="6213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2700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3450325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1-2月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31DA24E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-1.6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14.9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3FAE03B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11.4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F56404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59.3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7F7CFB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-1.2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4B68E7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29.0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102603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5FC0302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-24.6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47425A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12.8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稀土金属冶炼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2A00626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105.4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4E097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9.5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6EEF3EB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-37.0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2E5F9A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46.4</w:t>
            </w:r>
          </w:p>
        </w:tc>
      </w:tr>
      <w:tr w14:paraId="77A7C87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7BA856E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5569757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-35.6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15EADD9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22.0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618A8FF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1704B36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0.2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4B3EE2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-10.0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354AC8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2.0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D62BFD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3DF853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-35.4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3A878E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3.9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vAlign w:val="center"/>
          </w:tcPr>
          <w:p w14:paraId="740CF57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2700" w:type="dxa"/>
            <w:tcBorders>
              <w:left w:val="single" w:color="000000" w:sz="4" w:space="0"/>
            </w:tcBorders>
            <w:vAlign w:val="center"/>
          </w:tcPr>
          <w:p w14:paraId="7E13A7E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2700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2700" w:type="dxa"/>
            <w:tcBorders>
              <w:left w:val="single" w:color="000000" w:sz="4" w:space="0"/>
              <w:bottom w:val="thickThinSmallGap" w:color="000000" w:sz="18" w:space="0"/>
            </w:tcBorders>
            <w:shd w:val="clear" w:color="auto" w:fill="auto"/>
            <w:vAlign w:val="center"/>
          </w:tcPr>
          <w:p w14:paraId="2B7AE18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2.2</w:t>
            </w:r>
          </w:p>
        </w:tc>
      </w:tr>
    </w:tbl>
    <w:p w14:paraId="4DB98880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8863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0"/>
        <w:gridCol w:w="1733"/>
        <w:gridCol w:w="1684"/>
        <w:gridCol w:w="1316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130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33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84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81F1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1～2月</w:t>
            </w:r>
          </w:p>
          <w:p w14:paraId="6F26DCB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316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25AD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60664.8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22AA19A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14.8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69E5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25340.2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2980BC83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156AEE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85170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2EE5DEA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12.0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96.42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6924572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0.39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895.9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229.4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2.47 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73.5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0.73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-29.1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0.13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-29.7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5.50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7.8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1.71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-81.7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152.4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47.2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1.86 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-36.4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0.25 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7BD7088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2.5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359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41AD225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-75.3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201.7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776EB85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-81.0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3FF4EF8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5099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003A943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286.6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33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3176</w:t>
            </w:r>
          </w:p>
        </w:tc>
        <w:tc>
          <w:tcPr>
            <w:tcW w:w="13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160.7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01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539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6475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2539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38A984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1-2月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2539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-2.3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880005">
            <w:pPr>
              <w:pStyle w:val="8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#项目投资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DECF6B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5.4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-100.0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56.3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-2.0</w:t>
            </w:r>
            <w:bookmarkStart w:id="1" w:name="_GoBack"/>
            <w:bookmarkEnd w:id="1"/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-99.6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21.1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-7.9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34.5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7.0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-10.5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-29.9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45.8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-13.0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-37.9</w:t>
            </w:r>
          </w:p>
        </w:tc>
      </w:tr>
    </w:tbl>
    <w:p w14:paraId="6D9C155D">
      <w:pPr>
        <w:spacing w:after="156" w:afterLines="50" w:line="192" w:lineRule="atLeast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11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5"/>
        <w:gridCol w:w="1126"/>
        <w:gridCol w:w="1190"/>
        <w:gridCol w:w="1233"/>
        <w:gridCol w:w="114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51" w:hRule="exact"/>
          <w:jc w:val="center"/>
        </w:trPr>
        <w:tc>
          <w:tcPr>
            <w:tcW w:w="4415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2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190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6EA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1～2月</w:t>
            </w:r>
          </w:p>
          <w:p w14:paraId="19B3C8E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33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14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6.01</w:t>
            </w:r>
          </w:p>
        </w:tc>
        <w:tc>
          <w:tcPr>
            <w:tcW w:w="12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5.96</w:t>
            </w:r>
          </w:p>
        </w:tc>
        <w:tc>
          <w:tcPr>
            <w:tcW w:w="11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0.8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0.54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0.60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-10.4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9868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0CF50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56F3710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BAF3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4.12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F87B4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4.11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66D3E50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1D1DC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1.89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75A80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1.85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1969889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2.3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C67B1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D149D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53E9846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35EA9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5.23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CBB3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5.21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08BEAB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0.4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67B8E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0.77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038D8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9483CF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3.3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835E5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3475E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2DD8A3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591.6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1197.1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-50.6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106.8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723.6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-85.2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484.8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473.5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-40.0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415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4.82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8.42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-42.8</w:t>
            </w:r>
          </w:p>
        </w:tc>
      </w:tr>
    </w:tbl>
    <w:p w14:paraId="04B1F04B"/>
    <w:sectPr>
      <w:pgSz w:w="11906" w:h="16838"/>
      <w:pgMar w:top="850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71BB"/>
    <w:rsid w:val="07795BA7"/>
    <w:rsid w:val="351F0E36"/>
    <w:rsid w:val="4783660C"/>
    <w:rsid w:val="4C89754C"/>
    <w:rsid w:val="66C832A1"/>
    <w:rsid w:val="7D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1220</Words>
  <Characters>1657</Characters>
  <Lines>0</Lines>
  <Paragraphs>0</Paragraphs>
  <TotalTime>3</TotalTime>
  <ScaleCrop>false</ScaleCrop>
  <LinksUpToDate>false</LinksUpToDate>
  <CharactersWithSpaces>1705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2025-03-28T09:39:00Z</dcterms:created>
  <dc:creator>知足常乐</dc:creator>
  <cp:lastModifiedBy>xv</cp:lastModifiedBy>
  <dcterms:modified xsi:type="dcterms:W3CDTF">2025-05-22T07:53:07Z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0993C3BE51624D8E92FD764BD543469E_13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