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44FBF31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  <w:t>2025年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  <w:lang w:val="en-US" w:eastAsia="zh-CN"/>
        </w:rPr>
        <w:t>1-9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  <w:t>月平远县经济运行简况</w:t>
      </w:r>
      <w:bookmarkStart w:id="0" w:name="OLE_LINK1"/>
    </w:p>
    <w:bookmarkEnd w:id="0"/>
    <w:p w14:paraId="7B1C91BD">
      <w:pPr>
        <w:spacing w:line="572" w:lineRule="exact"/>
        <w:ind w:firstLine="800" w:firstLineChars="200"/>
        <w:rPr>
          <w:rFonts w:ascii="仿宋_GB2312" w:hAnsi="仿宋_GB2312" w:eastAsia="仿宋_GB2312"/>
          <w:sz w:val="40"/>
          <w:szCs w:val="40"/>
        </w:rPr>
      </w:pPr>
    </w:p>
    <w:p w14:paraId="4B9D10BB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1-9月，平远县始终以习近平新时代中国特色社会主义思想为根本遵循，坚决贯彻落实省委“1310”具体部署及市委、市政府工作要求，锚定“百千万工程”战略抓手，紧扣“三个百亿”发展目标，全力构建县域现代化产业体系，有效破解发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展瓶颈、激活增长动能，推动县域经济持续平稳增长。</w:t>
      </w:r>
    </w:p>
    <w:p w14:paraId="1B614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根据梅州市地区生产总值统一核算结果，2025年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第三季度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，平远县地区生产总值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76.39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亿元，按不变价格计算，同比增长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5.6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%。其中，第一产业增加值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12.83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亿元，同比增长4.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%；第二产业增加值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20.28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亿元，同比增长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8.3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%；第三产业增加值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43.27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亿元，同比增长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4.8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%。</w:t>
      </w:r>
    </w:p>
    <w:p w14:paraId="2ADC186A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一、农林牧渔业。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全县农林牧渔业产值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18.60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亿元，同比增长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.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%。其中农业产值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10.78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亿元，同比增长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3.8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%；林业产值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1.64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亿元，同比增长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14.3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%；牧业产值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3.90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亿元，同比增长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2.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%；渔业产值0.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85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亿元，同比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下降0.2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%；辅助性活动产值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1.43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亿元，同比增长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24.8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</w:t>
      </w:r>
    </w:p>
    <w:p w14:paraId="19E2910A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二、规模以上工业。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全县规上工业产值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49.56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亿元，同比增长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9.7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。规上工业增加值同比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增长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2.4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bidi="ar"/>
        </w:rPr>
        <w:t>从三大门类看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，采矿业增加值下降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17.9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%；制造业增加值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增长4.0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%；电力、热力行业增加值增长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25.9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bidi="ar"/>
        </w:rPr>
        <w:t>从主要工业生产行业看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，电子元件及电子专用材料制造增加值增长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20.3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%；非金属矿物制品业增加值下降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49.4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%；稀土金属冶炼增加值增长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25.7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%；输配电及控制设备制造增加值下降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15.0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%；酒、饮料和精制茶制造业增加值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增长7.8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%；饲料加工增加值增长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53.1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%；纺织业增加值增长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53.4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%；太阳能发电增加值增长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26.2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%；风力发电增加值增长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33.4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%；汽车零部件增加值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下降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42.4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</w:t>
      </w:r>
    </w:p>
    <w:p w14:paraId="4DB8FCB1">
      <w:pPr>
        <w:autoSpaceDE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三、固定资产投资。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全县固定资产投资同比增长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3.5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bidi="ar"/>
        </w:rPr>
        <w:t>从投资产业分布看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，第一产业投资下降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91.2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%；第二产业投资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下降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11.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%；第三产业投资增长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1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8.5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bidi="ar"/>
        </w:rPr>
        <w:t>从投资领域看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，工业投资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下降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11.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%，其中技改投资增长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73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.2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%；基础设施投资增长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38.5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%;房地产开发投资下降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9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0.5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bidi="ar"/>
        </w:rPr>
        <w:t>从房地产开发和销售情况看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，商品房施工面积57.69万平方米，下降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15.1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%；商品房销售面积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4.83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万平方米，下降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9.5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%。商品房销售额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1.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84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亿元，下降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19.4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%。商品房待售面积1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7.92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万平方米，增长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23.6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</w:t>
      </w:r>
    </w:p>
    <w:p w14:paraId="369EF35F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四、社会消费品零售总额。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全县社会消费品零售总额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22.14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亿元，同比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增长0.0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40"/>
          <w:lang w:bidi="ar"/>
        </w:rPr>
        <w:t>按限上限下分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，限额以上社会消费品零售总额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2.16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亿元，同比下降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val="en-US" w:eastAsia="zh-CN" w:bidi="ar"/>
        </w:rPr>
        <w:t>1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7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val="en-US" w:eastAsia="zh-CN" w:bidi="ar"/>
        </w:rPr>
        <w:t>.4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%；限额以下零售额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19.98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亿元，增长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1.5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40"/>
          <w:lang w:bidi="ar"/>
        </w:rPr>
        <w:t>按经营所在地分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，城镇消费品零售额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val="en-US" w:eastAsia="zh-CN" w:bidi="ar"/>
        </w:rPr>
        <w:t>1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5.05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亿元，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val="en-US" w:eastAsia="zh-CN" w:bidi="ar"/>
        </w:rPr>
        <w:t>下降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1.6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%；乡村消费品零售额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7.09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亿元，增长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1.3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40"/>
          <w:lang w:bidi="ar"/>
        </w:rPr>
        <w:t>按消费类型分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，商品零售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val="en-US" w:eastAsia="zh-CN" w:bidi="ar"/>
        </w:rPr>
        <w:t>1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9.43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亿元，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下降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0.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6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%；餐饮收入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2.71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亿元，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下降1.0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%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。</w:t>
      </w:r>
    </w:p>
    <w:p w14:paraId="41D7EFFA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五、一般公共预算收支。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全县一般公共预算收入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5.79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亿元，增收0.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54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亿元，比增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10.21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%。其中：税收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亿元，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增收0.51亿元，比增20.57%；非税收入2.79亿元，增收245万元，比增0.89%，占比48.18%。一般公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共预算支出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26.94亿元，增支0.79亿元，比增3.01%。</w:t>
      </w:r>
    </w:p>
    <w:p w14:paraId="3F0D8450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六、进出口总额。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全县进出口总额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3956.3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万美元，同比下降2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3.5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%。其中：进口总额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618.2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万美元，同比下降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7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.1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%；出口总额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3338.1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万美元，同比增长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7.6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</w:t>
      </w:r>
    </w:p>
    <w:p w14:paraId="0929E3B0">
      <w:pPr>
        <w:spacing w:line="560" w:lineRule="exact"/>
        <w:ind w:firstLine="5120" w:firstLineChars="1600"/>
        <w:jc w:val="center"/>
        <w:textAlignment w:val="baseline"/>
        <w:rPr>
          <w:rFonts w:ascii="仿宋" w:hAnsi="仿宋" w:eastAsia="仿宋" w:cs="仿宋"/>
          <w:sz w:val="32"/>
          <w:szCs w:val="32"/>
        </w:rPr>
      </w:pPr>
    </w:p>
    <w:p w14:paraId="00AEE4B8">
      <w:pPr>
        <w:spacing w:line="560" w:lineRule="exact"/>
        <w:ind w:firstLine="5120" w:firstLineChars="1600"/>
        <w:jc w:val="center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平远县统计局</w:t>
      </w:r>
    </w:p>
    <w:p w14:paraId="67ECDF3B">
      <w:pPr>
        <w:spacing w:line="560" w:lineRule="exact"/>
        <w:ind w:firstLine="5120" w:firstLineChars="1600"/>
        <w:jc w:val="center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2905FB5">
      <w:pPr>
        <w:sectPr>
          <w:footerReference r:id="rId3" w:type="default"/>
          <w:footerReference r:id="rId4" w:type="even"/>
          <w:pgSz w:w="11907" w:h="16840"/>
          <w:pgMar w:top="2098" w:right="1531" w:bottom="1984" w:left="1531" w:header="850" w:footer="992" w:gutter="0"/>
          <w:pgNumType w:fmt="numberInDash" w:start="1"/>
          <w:cols w:space="720" w:num="1"/>
          <w:docGrid w:type="lines" w:linePitch="312" w:charSpace="0"/>
        </w:sectPr>
      </w:pPr>
    </w:p>
    <w:p w14:paraId="672471DE">
      <w:pPr>
        <w:spacing w:after="156" w:afterLines="5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全县主要经济指标</w:t>
      </w:r>
    </w:p>
    <w:tbl>
      <w:tblPr>
        <w:tblStyle w:val="6"/>
        <w:tblpPr w:vertAnchor="text" w:horzAnchor="page" w:tblpXSpec="center"/>
        <w:tblOverlap w:val="never"/>
        <w:tblW w:w="945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7"/>
        <w:gridCol w:w="1555"/>
        <w:gridCol w:w="2045"/>
        <w:gridCol w:w="1761"/>
      </w:tblGrid>
      <w:tr w14:paraId="338868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exact"/>
          <w:jc w:val="center"/>
        </w:trPr>
        <w:tc>
          <w:tcPr>
            <w:tcW w:w="409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619EBC74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155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71D1F2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4A2A1321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204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74941E">
            <w:pPr>
              <w:pStyle w:val="19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1-9月</w:t>
            </w:r>
          </w:p>
          <w:p w14:paraId="7DCAEB6B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累计</w:t>
            </w:r>
          </w:p>
        </w:tc>
        <w:tc>
          <w:tcPr>
            <w:tcW w:w="1761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7457C96D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0683680E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同期±%</w:t>
            </w:r>
          </w:p>
        </w:tc>
      </w:tr>
      <w:tr w14:paraId="38B988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7F49022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地区生产总值（季度）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48FC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8A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76.39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F484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</w:tr>
      <w:tr w14:paraId="780D145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63AAE0B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第一产业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D8DE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3B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12.83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9222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</w:tr>
      <w:tr w14:paraId="773472D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27ED87E4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第二产业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5879A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3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20.28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5BC23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8.3</w:t>
            </w:r>
          </w:p>
        </w:tc>
      </w:tr>
      <w:tr w14:paraId="4AEF02A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36668B57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#工业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2D76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C7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13.75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3BB1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</w:tr>
      <w:tr w14:paraId="699994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8D9ADCD">
            <w:pPr>
              <w:pStyle w:val="19"/>
              <w:spacing w:line="360" w:lineRule="exact"/>
              <w:ind w:firstLine="1260" w:firstLineChars="45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建筑业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CFAA2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C3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6.77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7CE2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19.8</w:t>
            </w:r>
          </w:p>
        </w:tc>
      </w:tr>
      <w:tr w14:paraId="6C38E04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9AA6E80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第三产业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3142B4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72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43.27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4527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</w:tr>
      <w:tr w14:paraId="375F01C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A55143A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农林牧渔业总产值（季度）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E5FC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CE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18.60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1E440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</w:tr>
      <w:tr w14:paraId="74D607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D973F37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固定资产投资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67248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F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C96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</w:tr>
      <w:tr w14:paraId="17B3966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E5617A6">
            <w:pPr>
              <w:pStyle w:val="19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房地产开发投资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677F1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4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489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-90.5</w:t>
            </w:r>
          </w:p>
        </w:tc>
      </w:tr>
      <w:tr w14:paraId="5C10FB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28B9C04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工业投资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DE39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5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5F5F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-11.1</w:t>
            </w:r>
          </w:p>
        </w:tc>
      </w:tr>
      <w:tr w14:paraId="2984E26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FDEA217">
            <w:pPr>
              <w:pStyle w:val="19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基础设施投资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F62D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2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6AA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</w:t>
            </w:r>
          </w:p>
        </w:tc>
      </w:tr>
      <w:tr w14:paraId="2A151A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363B88E3">
            <w:pPr>
              <w:pStyle w:val="19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民间投资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7F10D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A7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A45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-59.5</w:t>
            </w:r>
          </w:p>
        </w:tc>
      </w:tr>
      <w:tr w14:paraId="53DF5C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22FFAA7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规模以上工业增加值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E355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3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26C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 w14:paraId="481133A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06170AC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社会消费品零售总额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C034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1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22.14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A49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-0.7</w:t>
            </w:r>
          </w:p>
        </w:tc>
      </w:tr>
      <w:tr w14:paraId="5367E2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1ABBBBD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地方一般公共预算收入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645C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9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5.79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78A0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</w:tr>
      <w:tr w14:paraId="7508B0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C288BC0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地方一般公共预算支出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1772A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1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26.94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153A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</w:t>
            </w:r>
          </w:p>
        </w:tc>
      </w:tr>
      <w:tr w14:paraId="2B94EE5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FA92889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税收收入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EC29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C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5.77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FA8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47.8</w:t>
            </w:r>
          </w:p>
        </w:tc>
      </w:tr>
      <w:tr w14:paraId="48517EC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167CFEB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货物进出口总额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E1E52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E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0.40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5928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-23.5</w:t>
            </w:r>
          </w:p>
        </w:tc>
      </w:tr>
      <w:tr w14:paraId="61714A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vAlign w:val="center"/>
          </w:tcPr>
          <w:p w14:paraId="63A167BE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#出口</w:t>
            </w:r>
          </w:p>
        </w:tc>
        <w:tc>
          <w:tcPr>
            <w:tcW w:w="1555" w:type="dxa"/>
            <w:tcBorders>
              <w:left w:val="single" w:color="000000" w:sz="4" w:space="0"/>
            </w:tcBorders>
            <w:vAlign w:val="center"/>
          </w:tcPr>
          <w:p w14:paraId="6ABBA9B8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45" w:type="dxa"/>
            <w:tcBorders>
              <w:left w:val="single" w:color="000000" w:sz="4" w:space="0"/>
            </w:tcBorders>
            <w:vAlign w:val="center"/>
          </w:tcPr>
          <w:p w14:paraId="4B6F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center"/>
          </w:tcPr>
          <w:p w14:paraId="30BA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</w:p>
        </w:tc>
      </w:tr>
      <w:tr w14:paraId="133A324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vAlign w:val="center"/>
          </w:tcPr>
          <w:p w14:paraId="6BDDBD14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全社会用电量</w:t>
            </w:r>
          </w:p>
        </w:tc>
        <w:tc>
          <w:tcPr>
            <w:tcW w:w="1555" w:type="dxa"/>
            <w:tcBorders>
              <w:left w:val="single" w:color="000000" w:sz="4" w:space="0"/>
            </w:tcBorders>
            <w:vAlign w:val="center"/>
          </w:tcPr>
          <w:p w14:paraId="57C18452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45" w:type="dxa"/>
            <w:tcBorders>
              <w:left w:val="single" w:color="000000" w:sz="4" w:space="0"/>
            </w:tcBorders>
            <w:vAlign w:val="center"/>
          </w:tcPr>
          <w:p w14:paraId="73CF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3.60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center"/>
          </w:tcPr>
          <w:p w14:paraId="4043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</w:tr>
      <w:tr w14:paraId="3691AC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bottom w:val="thickThinSmallGap" w:color="000000" w:sz="18" w:space="0"/>
            </w:tcBorders>
            <w:vAlign w:val="center"/>
          </w:tcPr>
          <w:p w14:paraId="7A3FE315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#工业用电量</w:t>
            </w:r>
          </w:p>
        </w:tc>
        <w:tc>
          <w:tcPr>
            <w:tcW w:w="1555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1D0DB0AC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45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897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</w:t>
            </w:r>
          </w:p>
        </w:tc>
        <w:tc>
          <w:tcPr>
            <w:tcW w:w="1761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CC13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</w:t>
            </w:r>
          </w:p>
        </w:tc>
      </w:tr>
    </w:tbl>
    <w:p w14:paraId="2A3E809E">
      <w:pPr>
        <w:spacing w:before="31" w:beforeLines="10" w:line="300" w:lineRule="exact"/>
        <w:ind w:firstLine="480" w:firstLineChars="200"/>
        <w:rPr>
          <w:rFonts w:hint="eastAsia" w:ascii="宋体" w:hAnsi="宋体"/>
          <w:color w:val="000000"/>
          <w:sz w:val="24"/>
          <w:szCs w:val="22"/>
        </w:rPr>
      </w:pPr>
      <w:r>
        <w:rPr>
          <w:rFonts w:hint="eastAsia" w:ascii="宋体" w:hAnsi="宋体"/>
          <w:color w:val="000000"/>
          <w:sz w:val="24"/>
          <w:szCs w:val="22"/>
        </w:rPr>
        <w:t>注：地区生产总值、农业总产值等指标按季度统计核算和公布。</w:t>
      </w:r>
    </w:p>
    <w:p w14:paraId="3136B98C">
      <w:pPr>
        <w:spacing w:before="31" w:beforeLines="10" w:line="300" w:lineRule="exact"/>
        <w:ind w:firstLine="480" w:firstLineChars="200"/>
        <w:rPr>
          <w:rFonts w:hint="eastAsia" w:ascii="宋体" w:hAnsi="宋体"/>
          <w:color w:val="000000"/>
          <w:sz w:val="24"/>
          <w:szCs w:val="22"/>
        </w:rPr>
      </w:pPr>
    </w:p>
    <w:p w14:paraId="3C32F6EF">
      <w:pPr>
        <w:spacing w:before="31" w:beforeLines="10" w:line="300" w:lineRule="exact"/>
        <w:ind w:firstLine="480" w:firstLineChars="200"/>
        <w:rPr>
          <w:rFonts w:hint="eastAsia" w:ascii="宋体" w:hAnsi="宋体"/>
          <w:color w:val="000000"/>
          <w:sz w:val="24"/>
          <w:szCs w:val="22"/>
        </w:rPr>
      </w:pPr>
    </w:p>
    <w:tbl>
      <w:tblPr>
        <w:tblStyle w:val="6"/>
        <w:tblpPr w:leftFromText="180" w:rightFromText="180" w:vertAnchor="text" w:horzAnchor="page" w:tblpXSpec="center" w:tblpY="816"/>
        <w:tblOverlap w:val="never"/>
        <w:tblW w:w="9099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1"/>
        <w:gridCol w:w="3288"/>
      </w:tblGrid>
      <w:tr w14:paraId="12EA29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5811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48D3C73E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3288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0C76D68E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1-9月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01FC37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9C988F6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vAlign w:val="center"/>
          </w:tcPr>
          <w:p w14:paraId="31DA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71C80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27C84E7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（一）规模以上工业总产值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07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</w:t>
            </w:r>
          </w:p>
        </w:tc>
      </w:tr>
      <w:tr w14:paraId="6E72A4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FF6312D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40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</w:t>
            </w:r>
          </w:p>
        </w:tc>
      </w:tr>
      <w:tr w14:paraId="48CF20F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2DC55F0">
            <w:pPr>
              <w:pStyle w:val="19"/>
              <w:spacing w:line="360" w:lineRule="exact"/>
              <w:ind w:firstLine="980" w:firstLineChars="35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07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</w:tr>
      <w:tr w14:paraId="3670025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4040AF5E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分登记注册类型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AE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607B2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BF279C4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1.内资企业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4E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</w:tr>
      <w:tr w14:paraId="685F8A9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5798456B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股份制企业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CC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</w:t>
            </w:r>
          </w:p>
        </w:tc>
      </w:tr>
      <w:tr w14:paraId="25B8B3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B5EECBA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＃国有控股企业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56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</w:tr>
      <w:tr w14:paraId="1BF222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6B4936D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其他经济类型企业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7F7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-5.5</w:t>
            </w:r>
          </w:p>
        </w:tc>
      </w:tr>
      <w:tr w14:paraId="2FC992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2AA0136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2.外商及港澳台商投资企业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68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</w:t>
            </w:r>
          </w:p>
        </w:tc>
      </w:tr>
      <w:tr w14:paraId="78A3548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DD89510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260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54D48F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C6671F4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C0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-12.6</w:t>
            </w:r>
          </w:p>
        </w:tc>
      </w:tr>
      <w:tr w14:paraId="147B56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589D66D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74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</w:tr>
      <w:tr w14:paraId="740CDCE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48AB5C23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＃稀土金属冶炼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00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27.8</w:t>
            </w:r>
          </w:p>
        </w:tc>
      </w:tr>
      <w:tr w14:paraId="3BB3B6B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D4731CB">
            <w:pPr>
              <w:pStyle w:val="19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电子元件及电子专用材料制造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E0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</w:t>
            </w:r>
          </w:p>
        </w:tc>
      </w:tr>
      <w:tr w14:paraId="5C6273E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DA5F283">
            <w:pPr>
              <w:pStyle w:val="19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非金属矿物制品业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EF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-45.9</w:t>
            </w:r>
          </w:p>
        </w:tc>
      </w:tr>
      <w:tr w14:paraId="048CFE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FB55D70">
            <w:pPr>
              <w:pStyle w:val="19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饲料加工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5F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44.2</w:t>
            </w:r>
          </w:p>
        </w:tc>
      </w:tr>
      <w:tr w14:paraId="55A3F1A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4773526">
            <w:pPr>
              <w:pStyle w:val="19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酒、饮料和精制茶制造业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FD2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</w:tr>
      <w:tr w14:paraId="71D10B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4A7E5BF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5EA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</w:t>
            </w:r>
          </w:p>
        </w:tc>
      </w:tr>
      <w:tr w14:paraId="16A150D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30EF4E7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（二）规模以下工业总产值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8A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872A3F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977B2C8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二、规模以上工业增加值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704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 w14:paraId="3DB120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0F43837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B3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</w:t>
            </w:r>
          </w:p>
        </w:tc>
      </w:tr>
      <w:tr w14:paraId="18F9F26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1AD7D2D">
            <w:pPr>
              <w:pStyle w:val="19"/>
              <w:spacing w:line="360" w:lineRule="exact"/>
              <w:ind w:firstLine="980" w:firstLineChars="35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54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-0.6</w:t>
            </w:r>
          </w:p>
        </w:tc>
      </w:tr>
      <w:tr w14:paraId="6879641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AFB6798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62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D1E5B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5C9426B6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DF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-17.9</w:t>
            </w:r>
          </w:p>
        </w:tc>
      </w:tr>
      <w:tr w14:paraId="5F70AA8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6C05354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A8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</w:t>
            </w:r>
          </w:p>
        </w:tc>
      </w:tr>
      <w:tr w14:paraId="15E1A39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vAlign w:val="center"/>
          </w:tcPr>
          <w:p w14:paraId="740CF574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288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E13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25.9</w:t>
            </w:r>
          </w:p>
        </w:tc>
      </w:tr>
      <w:tr w14:paraId="6D4989F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vAlign w:val="center"/>
          </w:tcPr>
          <w:p w14:paraId="20D369BD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三、省级产业转移园区工业增加值</w:t>
            </w:r>
          </w:p>
        </w:tc>
        <w:tc>
          <w:tcPr>
            <w:tcW w:w="3288" w:type="dxa"/>
            <w:tcBorders>
              <w:left w:val="single" w:color="000000" w:sz="4" w:space="0"/>
            </w:tcBorders>
            <w:vAlign w:val="center"/>
          </w:tcPr>
          <w:p w14:paraId="601B7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72693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bottom w:val="thickThinSmallGap" w:color="000000" w:sz="18" w:space="0"/>
            </w:tcBorders>
            <w:vAlign w:val="center"/>
          </w:tcPr>
          <w:p w14:paraId="78F0C430">
            <w:pPr>
              <w:pStyle w:val="19"/>
              <w:spacing w:line="360" w:lineRule="exact"/>
              <w:ind w:firstLine="560" w:firstLineChars="20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288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B7AE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1.6</w:t>
            </w:r>
          </w:p>
        </w:tc>
      </w:tr>
    </w:tbl>
    <w:p w14:paraId="4DB98880">
      <w:pPr>
        <w:spacing w:after="156" w:afterLines="5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工业（一）</w:t>
      </w:r>
    </w:p>
    <w:p w14:paraId="4C601C3E">
      <w:pPr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工业（二）</w:t>
      </w:r>
    </w:p>
    <w:tbl>
      <w:tblPr>
        <w:tblStyle w:val="6"/>
        <w:tblW w:w="9737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1"/>
        <w:gridCol w:w="1708"/>
        <w:gridCol w:w="1516"/>
        <w:gridCol w:w="1712"/>
      </w:tblGrid>
      <w:tr w14:paraId="6626DD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</w:trPr>
        <w:tc>
          <w:tcPr>
            <w:tcW w:w="4801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433830D2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1708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E0D2A0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61968D78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516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F8C5DE">
            <w:pPr>
              <w:pStyle w:val="19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1-9月</w:t>
            </w:r>
          </w:p>
          <w:p w14:paraId="62ACC56E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累计</w:t>
            </w:r>
          </w:p>
        </w:tc>
        <w:tc>
          <w:tcPr>
            <w:tcW w:w="1712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60B1D82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57876425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4F53FF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7BC4FA50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全社会用电量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3382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万千瓦时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48569.1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22AA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</w:tr>
      <w:tr w14:paraId="7C54157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4C704C26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#工业用电量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59CD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万千瓦时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6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20797.6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2980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</w:tr>
      <w:tr w14:paraId="11C7E54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726067A2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一、工业销售产值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71A22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D0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156A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FC77C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09346FEE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＃规模以上工业销售产值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EB98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8D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473313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2EE5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</w:t>
            </w:r>
          </w:p>
        </w:tc>
      </w:tr>
      <w:tr w14:paraId="6BAF00B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6EBBF988">
            <w:pPr>
              <w:pStyle w:val="19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规模以上工业产销率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8172B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%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9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95.50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6924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0.93</w:t>
            </w:r>
          </w:p>
        </w:tc>
      </w:tr>
      <w:tr w14:paraId="0956900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7C8C14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二、主要工业产品产量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F8B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0AE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0A8BB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BAA96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单一稀土金属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FFE4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8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4610.6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A90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</w:t>
            </w:r>
          </w:p>
        </w:tc>
      </w:tr>
      <w:tr w14:paraId="586AD18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510222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5F8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12.88 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D1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59.3</w:t>
            </w:r>
          </w:p>
        </w:tc>
      </w:tr>
      <w:tr w14:paraId="58F7885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9B98B44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饮料</w:t>
            </w:r>
          </w:p>
        </w:tc>
        <w:tc>
          <w:tcPr>
            <w:tcW w:w="17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DDE2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516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5.03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378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 w14:paraId="0F3DF4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97370D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石灰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0940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2.18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CC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-23.8</w:t>
            </w:r>
          </w:p>
        </w:tc>
      </w:tr>
      <w:tr w14:paraId="057DAD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0966B3F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商品混凝土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D324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万立方米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28.17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D5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28.8</w:t>
            </w:r>
          </w:p>
        </w:tc>
      </w:tr>
      <w:tr w14:paraId="41F7EA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73FDE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天然花岗石建筑板材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AF204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万平方米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10.55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98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-60.5</w:t>
            </w:r>
          </w:p>
        </w:tc>
      </w:tr>
      <w:tr w14:paraId="6DFF3B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98D1E9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D14A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万只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7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715.8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E6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26D40C3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2BF7ACF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电焊机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8FDA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万台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C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10.26 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46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-22.9</w:t>
            </w:r>
          </w:p>
        </w:tc>
      </w:tr>
      <w:tr w14:paraId="033474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66EF2996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铸铁件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1AF9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5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1.36 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7BD7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-21.2 </w:t>
            </w:r>
          </w:p>
        </w:tc>
      </w:tr>
      <w:tr w14:paraId="0E2EBDD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56B2884D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铁合金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D3E25C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F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4940.5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41AD2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34.7 </w:t>
            </w:r>
          </w:p>
        </w:tc>
      </w:tr>
      <w:tr w14:paraId="35CB58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7F722D9F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石墨及碳素制品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6723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C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5901.9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776E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50.5 </w:t>
            </w:r>
          </w:p>
        </w:tc>
      </w:tr>
      <w:tr w14:paraId="308FE14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16A4568C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三、规模以上工业主要经济指标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9C5B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5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3FF4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383C5A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1E733F12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利润总额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B1E0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A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27304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003A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280.1</w:t>
            </w:r>
          </w:p>
        </w:tc>
      </w:tr>
      <w:tr w14:paraId="07E2A52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bottom w:val="thickThinSmallGap" w:color="000000" w:sz="24" w:space="0"/>
            </w:tcBorders>
            <w:vAlign w:val="center"/>
          </w:tcPr>
          <w:p w14:paraId="022A1EE0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税金</w:t>
            </w:r>
          </w:p>
        </w:tc>
        <w:tc>
          <w:tcPr>
            <w:tcW w:w="1708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404402C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516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77E2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26134</w:t>
            </w:r>
          </w:p>
        </w:tc>
        <w:tc>
          <w:tcPr>
            <w:tcW w:w="1712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0FEC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17.6</w:t>
            </w:r>
          </w:p>
        </w:tc>
      </w:tr>
    </w:tbl>
    <w:p w14:paraId="6A792AE2">
      <w:pPr>
        <w:rPr>
          <w:rFonts w:eastAsia="穝灿砰"/>
          <w:b/>
          <w:color w:val="000000"/>
          <w:sz w:val="36"/>
        </w:rPr>
      </w:pPr>
      <w:r>
        <w:rPr>
          <w:rFonts w:hint="eastAsia"/>
        </w:rPr>
        <w:tab/>
      </w:r>
      <w:r>
        <w:rPr>
          <w:rFonts w:hint="eastAsia" w:eastAsia="穝灿砰"/>
          <w:b/>
          <w:color w:val="000000"/>
          <w:sz w:val="36"/>
        </w:rPr>
        <w:br w:type="page"/>
      </w:r>
    </w:p>
    <w:p w14:paraId="398E856D">
      <w:pPr>
        <w:spacing w:after="156" w:afterLines="5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固定资产投资</w:t>
      </w:r>
    </w:p>
    <w:tbl>
      <w:tblPr>
        <w:tblStyle w:val="6"/>
        <w:tblW w:w="919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4"/>
        <w:gridCol w:w="3704"/>
      </w:tblGrid>
      <w:tr w14:paraId="0D18639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  <w:jc w:val="center"/>
        </w:trPr>
        <w:tc>
          <w:tcPr>
            <w:tcW w:w="5494" w:type="dxa"/>
            <w:tcBorders>
              <w:top w:val="thinThickSmallGap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34F5592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3704" w:type="dxa"/>
            <w:tcBorders>
              <w:top w:val="thinThickSmallGap" w:color="000000" w:sz="18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76C8C10A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1-9月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1C4B0D4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6E0E2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一、固定资产投资总额</w:t>
            </w:r>
          </w:p>
        </w:tc>
        <w:tc>
          <w:tcPr>
            <w:tcW w:w="3704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 w14:paraId="33CF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</w:tr>
      <w:tr w14:paraId="5E293C4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3FDE35">
            <w:pPr>
              <w:pStyle w:val="19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房地产开发投资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22C7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-90.5</w:t>
            </w:r>
          </w:p>
        </w:tc>
      </w:tr>
      <w:tr w14:paraId="04D787C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CFE19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基础设施投资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02E5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</w:t>
            </w:r>
          </w:p>
        </w:tc>
      </w:tr>
      <w:tr w14:paraId="4ADBEA7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88A5E9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民间投资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148D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-59.5</w:t>
            </w:r>
          </w:p>
        </w:tc>
      </w:tr>
      <w:tr w14:paraId="0433BF4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0F91C2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按产业分：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5520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6CB1E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15FD20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第一产业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4FF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-91.2</w:t>
            </w:r>
          </w:p>
        </w:tc>
      </w:tr>
      <w:tr w14:paraId="2D09E50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CD9EF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第二产业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8C3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-11.1</w:t>
            </w:r>
          </w:p>
        </w:tc>
      </w:tr>
      <w:tr w14:paraId="0FA91C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4AB687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2BDD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-11.1</w:t>
            </w:r>
          </w:p>
        </w:tc>
      </w:tr>
      <w:tr w14:paraId="7BCB60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84AAD1">
            <w:pPr>
              <w:pStyle w:val="19"/>
              <w:spacing w:line="360" w:lineRule="exact"/>
              <w:ind w:firstLine="1680" w:firstLineChars="6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#技改投资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7208E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</w:t>
            </w:r>
          </w:p>
        </w:tc>
      </w:tr>
      <w:tr w14:paraId="10FB2E8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3D13D4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第三产业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6785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18.5</w:t>
            </w:r>
          </w:p>
        </w:tc>
      </w:tr>
      <w:tr w14:paraId="0FA632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1F23C5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二、省级产业转移园区工业投资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7C3F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D02D2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CEE52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1E79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-0.6</w:t>
            </w:r>
          </w:p>
        </w:tc>
      </w:tr>
      <w:tr w14:paraId="5F97DE3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F70DC3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三、房地产开发和销售情况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638D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A4565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E08C64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商品房施工面积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E93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-15.1</w:t>
            </w:r>
          </w:p>
        </w:tc>
      </w:tr>
      <w:tr w14:paraId="1827E35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EFF64B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19C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-18.6</w:t>
            </w:r>
          </w:p>
        </w:tc>
      </w:tr>
      <w:tr w14:paraId="0A47AB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E02A46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商品房竣工面积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7FE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</w:t>
            </w:r>
          </w:p>
        </w:tc>
      </w:tr>
      <w:tr w14:paraId="1C23A76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83F71E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58B7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-5.1</w:t>
            </w:r>
          </w:p>
        </w:tc>
      </w:tr>
      <w:tr w14:paraId="04B3D18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38F04C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3DDA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-9.5</w:t>
            </w:r>
          </w:p>
        </w:tc>
      </w:tr>
      <w:tr w14:paraId="45E837B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2987B9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969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-63.9</w:t>
            </w:r>
          </w:p>
        </w:tc>
      </w:tr>
      <w:tr w14:paraId="318CE9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9F2F68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商品房待售面积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CB9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23.6</w:t>
            </w:r>
          </w:p>
        </w:tc>
      </w:tr>
      <w:tr w14:paraId="2E551F9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D969B5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商品房销售额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0666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-19.4</w:t>
            </w:r>
          </w:p>
        </w:tc>
      </w:tr>
      <w:tr w14:paraId="21B2477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24A6D03D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#期房销售额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55D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-62.6</w:t>
            </w:r>
          </w:p>
        </w:tc>
      </w:tr>
    </w:tbl>
    <w:p w14:paraId="6D9C155D">
      <w:pPr>
        <w:spacing w:after="156" w:afterLines="50" w:line="192" w:lineRule="atLeast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贸易、招商</w:t>
      </w:r>
    </w:p>
    <w:tbl>
      <w:tblPr>
        <w:tblStyle w:val="6"/>
        <w:tblW w:w="9123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9"/>
        <w:gridCol w:w="1166"/>
        <w:gridCol w:w="1678"/>
        <w:gridCol w:w="1470"/>
      </w:tblGrid>
      <w:tr w14:paraId="61F5B9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  <w:jc w:val="center"/>
        </w:trPr>
        <w:tc>
          <w:tcPr>
            <w:tcW w:w="4809" w:type="dxa"/>
            <w:tcBorders>
              <w:top w:val="thinThickSmallGap" w:color="000000" w:sz="1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673B01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1166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4FB2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77542880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678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E773">
            <w:pPr>
              <w:pStyle w:val="19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1-9月</w:t>
            </w:r>
          </w:p>
          <w:p w14:paraId="58D10895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累计</w:t>
            </w:r>
          </w:p>
        </w:tc>
        <w:tc>
          <w:tcPr>
            <w:tcW w:w="1470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C5CFCB9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14451FF5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</w:p>
          <w:p w14:paraId="5879649F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179BE30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43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一、社会消费品零售总额</w:t>
            </w:r>
          </w:p>
        </w:tc>
        <w:tc>
          <w:tcPr>
            <w:tcW w:w="11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62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万元</w:t>
            </w:r>
          </w:p>
        </w:tc>
        <w:tc>
          <w:tcPr>
            <w:tcW w:w="16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8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22.14</w:t>
            </w:r>
          </w:p>
        </w:tc>
        <w:tc>
          <w:tcPr>
            <w:tcW w:w="147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1E4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28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</w:tr>
      <w:tr w14:paraId="1EB1F5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113AFB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其中：限额以上商贸业零售额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E25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万元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27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2.16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vAlign w:val="center"/>
          </w:tcPr>
          <w:p w14:paraId="5886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-17.4</w:t>
            </w:r>
          </w:p>
        </w:tc>
      </w:tr>
      <w:tr w14:paraId="1F1BB6F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E20F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（一）按经营地分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F168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6F3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EECA11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D06436">
            <w:pPr>
              <w:widowControl/>
              <w:ind w:firstLine="840" w:firstLineChars="3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城镇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24A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万元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15.05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6D3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-1.6</w:t>
            </w:r>
          </w:p>
        </w:tc>
      </w:tr>
      <w:tr w14:paraId="77A8D9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D4D57F">
            <w:pPr>
              <w:widowControl/>
              <w:ind w:firstLine="840" w:firstLineChars="3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乡村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92AB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万元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7.09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1969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</w:tr>
      <w:tr w14:paraId="2A16B37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D9F3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（二）按消费类型分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36E9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7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3E9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DCA595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831E91">
            <w:pPr>
              <w:widowControl/>
              <w:ind w:firstLine="840" w:firstLineChars="3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商品零售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CABD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万元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19.43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BE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-0.6</w:t>
            </w:r>
          </w:p>
        </w:tc>
      </w:tr>
      <w:tr w14:paraId="325356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9FD810">
            <w:pPr>
              <w:widowControl/>
              <w:ind w:firstLine="840" w:firstLineChars="3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餐饮收入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A6D5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万元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2.71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948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-1.0</w:t>
            </w:r>
          </w:p>
        </w:tc>
      </w:tr>
      <w:tr w14:paraId="1BA2DD5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19B0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二、商品销售额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39A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万元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DD8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73ABA8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6FB7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三、货物进出口总额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1709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57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3956.3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vAlign w:val="center"/>
          </w:tcPr>
          <w:p w14:paraId="4F0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-23.5</w:t>
            </w:r>
          </w:p>
        </w:tc>
      </w:tr>
      <w:tr w14:paraId="0C5C59A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E98DFA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#进口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C923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7E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618.2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vAlign w:val="center"/>
          </w:tcPr>
          <w:p w14:paraId="663E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-70.1</w:t>
            </w:r>
          </w:p>
        </w:tc>
      </w:tr>
      <w:tr w14:paraId="561D2A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8C3DD8">
            <w:pPr>
              <w:widowControl/>
              <w:ind w:firstLine="700" w:firstLineChars="25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出口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B32D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8F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3338.1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vAlign w:val="center"/>
          </w:tcPr>
          <w:p w14:paraId="2EF1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</w:p>
        </w:tc>
      </w:tr>
      <w:tr w14:paraId="334EA7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63AC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四、实际利用外商直接投资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6DB8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6D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vAlign w:val="center"/>
          </w:tcPr>
          <w:p w14:paraId="386F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394A2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86469B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#已验资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6631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FD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vAlign w:val="center"/>
          </w:tcPr>
          <w:p w14:paraId="4676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CD80A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6210A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五、招商引资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B587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0D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vAlign w:val="center"/>
          </w:tcPr>
          <w:p w14:paraId="0E61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D43AA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7855DE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1.合同协议投资项目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282A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宗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2D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vAlign w:val="center"/>
          </w:tcPr>
          <w:p w14:paraId="403E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-39.1</w:t>
            </w:r>
          </w:p>
        </w:tc>
      </w:tr>
      <w:tr w14:paraId="712EDC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4809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60DEFB68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2.合同协议投资金额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01D242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42D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84D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-26.4</w:t>
            </w:r>
          </w:p>
        </w:tc>
      </w:tr>
    </w:tbl>
    <w:p w14:paraId="4AB20465">
      <w:pPr>
        <w:spacing w:line="5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eastAsia="穝灿砰"/>
          <w:b/>
          <w:color w:val="000000"/>
          <w:sz w:val="44"/>
          <w:szCs w:val="2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统计小知识</w:t>
      </w:r>
    </w:p>
    <w:p w14:paraId="5C79598C">
      <w:pPr>
        <w:pStyle w:val="10"/>
        <w:spacing w:line="5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</w:t>
      </w:r>
      <w:r>
        <w:rPr>
          <w:rFonts w:hint="eastAsia" w:ascii="黑体" w:hAnsi="黑体" w:eastAsia="黑体" w:cs="黑体"/>
          <w:sz w:val="32"/>
          <w:szCs w:val="32"/>
        </w:rPr>
        <w:t>什么是“四上”企业？</w:t>
      </w:r>
    </w:p>
    <w:p w14:paraId="2752AA40">
      <w:pPr>
        <w:pStyle w:val="10"/>
        <w:spacing w:line="50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（一）规模以上工业企业。</w:t>
      </w:r>
    </w:p>
    <w:p w14:paraId="53CBB2DF">
      <w:pPr>
        <w:pStyle w:val="10"/>
        <w:spacing w:line="5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年主营业务收入2000万元及以上的工业法人单位。</w:t>
      </w:r>
    </w:p>
    <w:p w14:paraId="5419EBBD">
      <w:pPr>
        <w:pStyle w:val="10"/>
        <w:numPr>
          <w:ilvl w:val="0"/>
          <w:numId w:val="1"/>
        </w:numPr>
        <w:spacing w:line="50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限额以上批发零售和住宿餐饮企业。</w:t>
      </w:r>
    </w:p>
    <w:p w14:paraId="6D1B1EB8">
      <w:pPr>
        <w:pStyle w:val="10"/>
        <w:numPr>
          <w:ilvl w:val="0"/>
          <w:numId w:val="2"/>
        </w:numPr>
        <w:spacing w:line="500" w:lineRule="exact"/>
        <w:ind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批发零售业：</w:t>
      </w:r>
      <w:r>
        <w:rPr>
          <w:rFonts w:hint="eastAsia" w:ascii="仿宋" w:hAnsi="仿宋" w:eastAsia="仿宋" w:cs="仿宋"/>
          <w:sz w:val="32"/>
          <w:szCs w:val="32"/>
        </w:rPr>
        <w:t>年主营业务收入2000万元及以上的批发业、年主营业务收入500万元及以上的零售业企业、产业活动单位与个体经营户。</w:t>
      </w:r>
    </w:p>
    <w:p w14:paraId="05A76FC2">
      <w:pPr>
        <w:pStyle w:val="10"/>
        <w:numPr>
          <w:ilvl w:val="0"/>
          <w:numId w:val="2"/>
        </w:numPr>
        <w:spacing w:line="500" w:lineRule="exact"/>
        <w:ind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住宿餐饮业：</w:t>
      </w:r>
      <w:r>
        <w:rPr>
          <w:rFonts w:hint="eastAsia" w:ascii="仿宋" w:hAnsi="仿宋" w:eastAsia="仿宋" w:cs="仿宋"/>
          <w:sz w:val="32"/>
          <w:szCs w:val="32"/>
        </w:rPr>
        <w:t>年主营业务收入200万元及以上的住宿和餐饮业企业、产业活动单位与个体经营户。</w:t>
      </w:r>
    </w:p>
    <w:p w14:paraId="180D7136">
      <w:pPr>
        <w:pStyle w:val="10"/>
        <w:numPr>
          <w:ilvl w:val="0"/>
          <w:numId w:val="1"/>
        </w:numPr>
        <w:spacing w:line="50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有资质的建筑业企业和有开发经营活动的房地产开发经营企业。</w:t>
      </w:r>
    </w:p>
    <w:p w14:paraId="47CE06A8">
      <w:pPr>
        <w:pStyle w:val="10"/>
        <w:numPr>
          <w:ilvl w:val="0"/>
          <w:numId w:val="3"/>
        </w:numPr>
        <w:spacing w:line="500" w:lineRule="exact"/>
        <w:ind w:left="0"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有资质的建筑业：</w:t>
      </w:r>
      <w:r>
        <w:rPr>
          <w:rFonts w:hint="eastAsia" w:ascii="仿宋" w:hAnsi="仿宋" w:eastAsia="仿宋" w:cs="仿宋"/>
          <w:sz w:val="32"/>
          <w:szCs w:val="32"/>
        </w:rPr>
        <w:t>辖区内的有总承包或专业承包资质的建筑业法人单位。</w:t>
      </w:r>
    </w:p>
    <w:p w14:paraId="722E594A">
      <w:pPr>
        <w:pStyle w:val="10"/>
        <w:numPr>
          <w:ilvl w:val="0"/>
          <w:numId w:val="3"/>
        </w:numPr>
        <w:spacing w:line="500" w:lineRule="exact"/>
        <w:ind w:left="0"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房地产开发经营业：</w:t>
      </w:r>
      <w:r>
        <w:rPr>
          <w:rFonts w:hint="eastAsia" w:ascii="仿宋" w:hAnsi="仿宋" w:eastAsia="仿宋" w:cs="仿宋"/>
          <w:sz w:val="32"/>
          <w:szCs w:val="32"/>
        </w:rPr>
        <w:t>辖区内有开发经营活动的全部房地产开发经营业法人单位。</w:t>
      </w:r>
    </w:p>
    <w:p w14:paraId="4AB1D149">
      <w:pPr>
        <w:pStyle w:val="10"/>
        <w:spacing w:line="50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（四）规模以上服务业企业。</w:t>
      </w:r>
    </w:p>
    <w:p w14:paraId="7515A72D">
      <w:pPr>
        <w:pStyle w:val="10"/>
        <w:spacing w:line="500" w:lineRule="exact"/>
        <w:ind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1.辖区年内营业收入2000万元及以上服务业法人单位。</w:t>
      </w:r>
      <w:r>
        <w:rPr>
          <w:rFonts w:hint="eastAsia" w:ascii="仿宋" w:hAnsi="仿宋" w:eastAsia="仿宋" w:cs="仿宋"/>
          <w:sz w:val="32"/>
          <w:szCs w:val="32"/>
        </w:rPr>
        <w:t>包括：交通运输、仓储和邮政业，信息传输、软件和信息技术服务业，水利、环境和公共设施管理业三个门类和卫生行业大类。</w:t>
      </w:r>
    </w:p>
    <w:p w14:paraId="5A5E9065">
      <w:pPr>
        <w:pStyle w:val="10"/>
        <w:spacing w:line="500" w:lineRule="exact"/>
        <w:ind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2.辖区年内营业收入1000万元及以上服务业法人单位。</w:t>
      </w:r>
      <w:r>
        <w:rPr>
          <w:rFonts w:hint="eastAsia" w:ascii="仿宋" w:hAnsi="仿宋" w:eastAsia="仿宋" w:cs="仿宋"/>
          <w:sz w:val="32"/>
          <w:szCs w:val="32"/>
        </w:rPr>
        <w:t>包括：租赁和商务服务业，科学研究和技术服务业，教育三个门类，以及物业管理、房地产中介服务、房地产租赁经营和其他房地产业四个行业小类。</w:t>
      </w:r>
    </w:p>
    <w:p w14:paraId="1DA469D7">
      <w:pPr>
        <w:pStyle w:val="10"/>
        <w:spacing w:line="500" w:lineRule="exact"/>
        <w:ind w:firstLine="643"/>
        <w:rPr>
          <w:rFonts w:eastAsia="穝灿砰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3.辖区年内营业收入500万元及以上服务业法人单位。</w:t>
      </w:r>
      <w:r>
        <w:rPr>
          <w:rFonts w:hint="eastAsia" w:ascii="仿宋" w:hAnsi="仿宋" w:eastAsia="仿宋" w:cs="仿宋"/>
          <w:sz w:val="32"/>
          <w:szCs w:val="32"/>
        </w:rPr>
        <w:t>包括：居民服务、修理和其他服务业，文化、体育和娱乐业两个门类，以及社会工作行业大类。</w:t>
      </w:r>
    </w:p>
    <w:sectPr>
      <w:pgSz w:w="11907" w:h="16840"/>
      <w:pgMar w:top="1440" w:right="1417" w:bottom="1440" w:left="1417" w:header="850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253E">
    <w:pPr>
      <w:pStyle w:val="4"/>
      <w:ind w:right="210" w:rightChars="100"/>
      <w:jc w:val="right"/>
      <w:rPr>
        <w:spacing w:val="-20"/>
        <w:sz w:val="28"/>
      </w:rPr>
    </w:pPr>
    <w:r>
      <w:rPr>
        <w:spacing w:val="-20"/>
        <w:sz w:val="28"/>
      </w:rPr>
      <w:fldChar w:fldCharType="begin"/>
    </w:r>
    <w:r>
      <w:rPr>
        <w:spacing w:val="-20"/>
        <w:sz w:val="28"/>
      </w:rPr>
      <w:instrText xml:space="preserve">PAGE   \* MERGEFORMAT</w:instrText>
    </w:r>
    <w:r>
      <w:rPr>
        <w:spacing w:val="-20"/>
        <w:sz w:val="28"/>
      </w:rPr>
      <w:fldChar w:fldCharType="separate"/>
    </w:r>
    <w:r>
      <w:rPr>
        <w:spacing w:val="-20"/>
        <w:sz w:val="28"/>
        <w:lang w:val="zh-CN"/>
      </w:rPr>
      <w:t>-</w:t>
    </w:r>
    <w:r>
      <w:rPr>
        <w:spacing w:val="-20"/>
        <w:sz w:val="28"/>
      </w:rPr>
      <w:t xml:space="preserve"> 1 -</w:t>
    </w:r>
    <w:r>
      <w:rPr>
        <w:spacing w:val="-20"/>
        <w:sz w:val="28"/>
      </w:rPr>
      <w:fldChar w:fldCharType="end"/>
    </w:r>
  </w:p>
  <w:p w14:paraId="757BAF2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8B6E6">
    <w:pPr>
      <w:pStyle w:val="4"/>
      <w:ind w:left="210" w:leftChars="100"/>
      <w:rPr>
        <w:spacing w:val="-20"/>
        <w:sz w:val="28"/>
      </w:rPr>
    </w:pPr>
    <w:r>
      <w:rPr>
        <w:spacing w:val="-20"/>
        <w:sz w:val="28"/>
      </w:rPr>
      <w:fldChar w:fldCharType="begin"/>
    </w:r>
    <w:r>
      <w:rPr>
        <w:spacing w:val="-20"/>
        <w:sz w:val="28"/>
      </w:rPr>
      <w:instrText xml:space="preserve">PAGE   \* MERGEFORMAT</w:instrText>
    </w:r>
    <w:r>
      <w:rPr>
        <w:spacing w:val="-20"/>
        <w:sz w:val="28"/>
      </w:rPr>
      <w:fldChar w:fldCharType="separate"/>
    </w:r>
    <w:r>
      <w:rPr>
        <w:spacing w:val="-20"/>
        <w:sz w:val="28"/>
        <w:lang w:val="zh-CN"/>
      </w:rPr>
      <w:t>-</w:t>
    </w:r>
    <w:r>
      <w:rPr>
        <w:spacing w:val="-20"/>
        <w:sz w:val="28"/>
      </w:rPr>
      <w:t xml:space="preserve"> 2 -</w:t>
    </w:r>
    <w:r>
      <w:rPr>
        <w:spacing w:val="-20"/>
        <w:sz w:val="28"/>
      </w:rPr>
      <w:fldChar w:fldCharType="end"/>
    </w:r>
  </w:p>
  <w:p w14:paraId="2ACA2760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76F55E"/>
    <w:multiLevelType w:val="singleLevel"/>
    <w:tmpl w:val="AF76F55E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b/>
        <w:bCs/>
      </w:rPr>
    </w:lvl>
  </w:abstractNum>
  <w:abstractNum w:abstractNumId="1">
    <w:nsid w:val="C8498C8E"/>
    <w:multiLevelType w:val="singleLevel"/>
    <w:tmpl w:val="C8498C8E"/>
    <w:lvl w:ilvl="0" w:tentative="0">
      <w:start w:val="1"/>
      <w:numFmt w:val="decimal"/>
      <w:suff w:val="nothing"/>
      <w:lvlText w:val="%1."/>
      <w:lvlJc w:val="left"/>
      <w:rPr>
        <w:rFonts w:hint="default"/>
        <w:b/>
        <w:bCs/>
      </w:rPr>
    </w:lvl>
  </w:abstractNum>
  <w:abstractNum w:abstractNumId="2">
    <w:nsid w:val="D6B56D32"/>
    <w:multiLevelType w:val="singleLevel"/>
    <w:tmpl w:val="D6B56D32"/>
    <w:lvl w:ilvl="0" w:tentative="0">
      <w:start w:val="2"/>
      <w:numFmt w:val="chineseCounting"/>
      <w:suff w:val="nothing"/>
      <w:lvlText w:val="(%1)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MzJiMzc4ODQ2NGNmYjkwOGNiMWJhMmU3YTczMDUifQ=="/>
  </w:docVars>
  <w:rsids>
    <w:rsidRoot w:val="00172A27"/>
    <w:rsid w:val="000370AC"/>
    <w:rsid w:val="00061D72"/>
    <w:rsid w:val="000A318A"/>
    <w:rsid w:val="00124BE7"/>
    <w:rsid w:val="00142107"/>
    <w:rsid w:val="00143DA3"/>
    <w:rsid w:val="00172A27"/>
    <w:rsid w:val="00180694"/>
    <w:rsid w:val="00184CB7"/>
    <w:rsid w:val="00192F11"/>
    <w:rsid w:val="00196F99"/>
    <w:rsid w:val="001B7D5B"/>
    <w:rsid w:val="00234716"/>
    <w:rsid w:val="00243C5F"/>
    <w:rsid w:val="00270239"/>
    <w:rsid w:val="002860A6"/>
    <w:rsid w:val="002B1252"/>
    <w:rsid w:val="00370A51"/>
    <w:rsid w:val="003E2C7F"/>
    <w:rsid w:val="00414BC8"/>
    <w:rsid w:val="00473031"/>
    <w:rsid w:val="004B1C47"/>
    <w:rsid w:val="004B2C10"/>
    <w:rsid w:val="006262B8"/>
    <w:rsid w:val="00637FED"/>
    <w:rsid w:val="006434CE"/>
    <w:rsid w:val="006437C5"/>
    <w:rsid w:val="00644B7F"/>
    <w:rsid w:val="006E4142"/>
    <w:rsid w:val="007036F3"/>
    <w:rsid w:val="0071665B"/>
    <w:rsid w:val="00727BA4"/>
    <w:rsid w:val="00735C7E"/>
    <w:rsid w:val="00794BA1"/>
    <w:rsid w:val="007B04E4"/>
    <w:rsid w:val="008569CE"/>
    <w:rsid w:val="00864227"/>
    <w:rsid w:val="00870196"/>
    <w:rsid w:val="00893B99"/>
    <w:rsid w:val="008B614C"/>
    <w:rsid w:val="009163FA"/>
    <w:rsid w:val="00956773"/>
    <w:rsid w:val="0099482B"/>
    <w:rsid w:val="009B1181"/>
    <w:rsid w:val="009B6E4C"/>
    <w:rsid w:val="009B7A28"/>
    <w:rsid w:val="00A35077"/>
    <w:rsid w:val="00A45EB3"/>
    <w:rsid w:val="00A511F1"/>
    <w:rsid w:val="00A60BF8"/>
    <w:rsid w:val="00A65FA9"/>
    <w:rsid w:val="00AC7DE8"/>
    <w:rsid w:val="00B2083A"/>
    <w:rsid w:val="00B2599D"/>
    <w:rsid w:val="00B42113"/>
    <w:rsid w:val="00B64266"/>
    <w:rsid w:val="00B92D69"/>
    <w:rsid w:val="00B95AE4"/>
    <w:rsid w:val="00BE2640"/>
    <w:rsid w:val="00BE7838"/>
    <w:rsid w:val="00C01A31"/>
    <w:rsid w:val="00C221FB"/>
    <w:rsid w:val="00C362E4"/>
    <w:rsid w:val="00C40D2B"/>
    <w:rsid w:val="00CB7ADB"/>
    <w:rsid w:val="00D07745"/>
    <w:rsid w:val="00D47564"/>
    <w:rsid w:val="00D9393F"/>
    <w:rsid w:val="00DD387B"/>
    <w:rsid w:val="00DE5743"/>
    <w:rsid w:val="00E13AAB"/>
    <w:rsid w:val="00E22707"/>
    <w:rsid w:val="00E2421A"/>
    <w:rsid w:val="00E93090"/>
    <w:rsid w:val="00EA2B4A"/>
    <w:rsid w:val="00EB1A2D"/>
    <w:rsid w:val="00F466DE"/>
    <w:rsid w:val="00F5624C"/>
    <w:rsid w:val="00F65AB3"/>
    <w:rsid w:val="00FB36CF"/>
    <w:rsid w:val="00FC62FE"/>
    <w:rsid w:val="00FF0550"/>
    <w:rsid w:val="00FF210C"/>
    <w:rsid w:val="010E05FB"/>
    <w:rsid w:val="011454C8"/>
    <w:rsid w:val="01200E80"/>
    <w:rsid w:val="01250EE5"/>
    <w:rsid w:val="014C6635"/>
    <w:rsid w:val="01624C62"/>
    <w:rsid w:val="01675EEF"/>
    <w:rsid w:val="016F77B0"/>
    <w:rsid w:val="0170480A"/>
    <w:rsid w:val="01712194"/>
    <w:rsid w:val="019C2884"/>
    <w:rsid w:val="01A15CD0"/>
    <w:rsid w:val="01A2628B"/>
    <w:rsid w:val="01A5654A"/>
    <w:rsid w:val="01B04EF2"/>
    <w:rsid w:val="01B44181"/>
    <w:rsid w:val="01BA31C1"/>
    <w:rsid w:val="01BE5F09"/>
    <w:rsid w:val="01CA2E1E"/>
    <w:rsid w:val="01CE327F"/>
    <w:rsid w:val="01CE4D56"/>
    <w:rsid w:val="01DB3D7F"/>
    <w:rsid w:val="01EA0F4B"/>
    <w:rsid w:val="01EA6184"/>
    <w:rsid w:val="02194557"/>
    <w:rsid w:val="021A3665"/>
    <w:rsid w:val="022B2C0A"/>
    <w:rsid w:val="022B66FD"/>
    <w:rsid w:val="023629B9"/>
    <w:rsid w:val="023C0147"/>
    <w:rsid w:val="023C6B02"/>
    <w:rsid w:val="024222B9"/>
    <w:rsid w:val="024702CC"/>
    <w:rsid w:val="02474FA8"/>
    <w:rsid w:val="02552201"/>
    <w:rsid w:val="02711487"/>
    <w:rsid w:val="02711757"/>
    <w:rsid w:val="027F19A2"/>
    <w:rsid w:val="028B216E"/>
    <w:rsid w:val="028D1A8D"/>
    <w:rsid w:val="02BB13C6"/>
    <w:rsid w:val="02BB65A4"/>
    <w:rsid w:val="02C55E20"/>
    <w:rsid w:val="02CA2934"/>
    <w:rsid w:val="02DC0A18"/>
    <w:rsid w:val="02EA1B47"/>
    <w:rsid w:val="03050FC0"/>
    <w:rsid w:val="031856C7"/>
    <w:rsid w:val="03197D52"/>
    <w:rsid w:val="031F0BD9"/>
    <w:rsid w:val="032E6BE1"/>
    <w:rsid w:val="03352965"/>
    <w:rsid w:val="033E1156"/>
    <w:rsid w:val="033F6241"/>
    <w:rsid w:val="033F6A25"/>
    <w:rsid w:val="03481A29"/>
    <w:rsid w:val="034E5D21"/>
    <w:rsid w:val="035E33AC"/>
    <w:rsid w:val="036308F7"/>
    <w:rsid w:val="03681E52"/>
    <w:rsid w:val="037E4AB1"/>
    <w:rsid w:val="03830C97"/>
    <w:rsid w:val="039C6C83"/>
    <w:rsid w:val="03B0415E"/>
    <w:rsid w:val="03C431E6"/>
    <w:rsid w:val="03C55E5C"/>
    <w:rsid w:val="03E73D17"/>
    <w:rsid w:val="03EE3EEF"/>
    <w:rsid w:val="03F02153"/>
    <w:rsid w:val="04017105"/>
    <w:rsid w:val="040E515D"/>
    <w:rsid w:val="04114082"/>
    <w:rsid w:val="041F719F"/>
    <w:rsid w:val="04257ED0"/>
    <w:rsid w:val="043A06FC"/>
    <w:rsid w:val="04485F2B"/>
    <w:rsid w:val="044A69BB"/>
    <w:rsid w:val="045F3622"/>
    <w:rsid w:val="046C62EE"/>
    <w:rsid w:val="047E2AB4"/>
    <w:rsid w:val="04823A86"/>
    <w:rsid w:val="0491110B"/>
    <w:rsid w:val="04A40425"/>
    <w:rsid w:val="04C609C8"/>
    <w:rsid w:val="04CB3BE0"/>
    <w:rsid w:val="04D13886"/>
    <w:rsid w:val="04F402BE"/>
    <w:rsid w:val="050069C5"/>
    <w:rsid w:val="0505518B"/>
    <w:rsid w:val="051B2E2B"/>
    <w:rsid w:val="051B76ED"/>
    <w:rsid w:val="05305F86"/>
    <w:rsid w:val="05307A23"/>
    <w:rsid w:val="0534296A"/>
    <w:rsid w:val="05431CAE"/>
    <w:rsid w:val="058576AD"/>
    <w:rsid w:val="05BA5A15"/>
    <w:rsid w:val="05BB6053"/>
    <w:rsid w:val="05D67B47"/>
    <w:rsid w:val="05DB4947"/>
    <w:rsid w:val="05F73C83"/>
    <w:rsid w:val="06026309"/>
    <w:rsid w:val="06192EFB"/>
    <w:rsid w:val="061C6693"/>
    <w:rsid w:val="06210AD2"/>
    <w:rsid w:val="062318A1"/>
    <w:rsid w:val="062663CE"/>
    <w:rsid w:val="062B6229"/>
    <w:rsid w:val="06346F05"/>
    <w:rsid w:val="06440B3C"/>
    <w:rsid w:val="065D7771"/>
    <w:rsid w:val="066825E3"/>
    <w:rsid w:val="066A619F"/>
    <w:rsid w:val="066F4B7C"/>
    <w:rsid w:val="06727885"/>
    <w:rsid w:val="06821F7B"/>
    <w:rsid w:val="06851913"/>
    <w:rsid w:val="069337FF"/>
    <w:rsid w:val="06961358"/>
    <w:rsid w:val="06970306"/>
    <w:rsid w:val="06A4313E"/>
    <w:rsid w:val="06AE2CCB"/>
    <w:rsid w:val="06BF459D"/>
    <w:rsid w:val="06D40527"/>
    <w:rsid w:val="06DE664F"/>
    <w:rsid w:val="06E00380"/>
    <w:rsid w:val="06E44F4B"/>
    <w:rsid w:val="06FC3783"/>
    <w:rsid w:val="07080877"/>
    <w:rsid w:val="071A32BA"/>
    <w:rsid w:val="072616D9"/>
    <w:rsid w:val="07396E51"/>
    <w:rsid w:val="07497E89"/>
    <w:rsid w:val="07584796"/>
    <w:rsid w:val="07713742"/>
    <w:rsid w:val="077D2A54"/>
    <w:rsid w:val="07817E1C"/>
    <w:rsid w:val="079923C4"/>
    <w:rsid w:val="07A35907"/>
    <w:rsid w:val="07AA4BA0"/>
    <w:rsid w:val="07AB2AF2"/>
    <w:rsid w:val="07CE345A"/>
    <w:rsid w:val="07D67619"/>
    <w:rsid w:val="07DA3F68"/>
    <w:rsid w:val="07DF1CE3"/>
    <w:rsid w:val="07E36B8B"/>
    <w:rsid w:val="07EF612A"/>
    <w:rsid w:val="07F6721E"/>
    <w:rsid w:val="08290FE5"/>
    <w:rsid w:val="084042C3"/>
    <w:rsid w:val="085207C5"/>
    <w:rsid w:val="0887422F"/>
    <w:rsid w:val="08914564"/>
    <w:rsid w:val="089E28F7"/>
    <w:rsid w:val="08C52D6F"/>
    <w:rsid w:val="08D10BFB"/>
    <w:rsid w:val="08D90E36"/>
    <w:rsid w:val="08D95412"/>
    <w:rsid w:val="08E5224C"/>
    <w:rsid w:val="08E81ADD"/>
    <w:rsid w:val="09106918"/>
    <w:rsid w:val="09140272"/>
    <w:rsid w:val="092248EA"/>
    <w:rsid w:val="093B36B6"/>
    <w:rsid w:val="094B406E"/>
    <w:rsid w:val="096329B7"/>
    <w:rsid w:val="097F3A40"/>
    <w:rsid w:val="097F3DD0"/>
    <w:rsid w:val="09927285"/>
    <w:rsid w:val="09941F69"/>
    <w:rsid w:val="0996021A"/>
    <w:rsid w:val="09B531D2"/>
    <w:rsid w:val="09B82BE7"/>
    <w:rsid w:val="09BE766A"/>
    <w:rsid w:val="09C61E36"/>
    <w:rsid w:val="09CE14EB"/>
    <w:rsid w:val="09D2509A"/>
    <w:rsid w:val="09DE67B4"/>
    <w:rsid w:val="09EF1EB5"/>
    <w:rsid w:val="09F16C13"/>
    <w:rsid w:val="09F541C8"/>
    <w:rsid w:val="09F80012"/>
    <w:rsid w:val="0A1048D7"/>
    <w:rsid w:val="0A155669"/>
    <w:rsid w:val="0A2B39CE"/>
    <w:rsid w:val="0A3915B5"/>
    <w:rsid w:val="0A3C2E6A"/>
    <w:rsid w:val="0A447344"/>
    <w:rsid w:val="0A606F48"/>
    <w:rsid w:val="0A61434C"/>
    <w:rsid w:val="0A631F7E"/>
    <w:rsid w:val="0A72110B"/>
    <w:rsid w:val="0A8F2003"/>
    <w:rsid w:val="0A902F2B"/>
    <w:rsid w:val="0A956DB1"/>
    <w:rsid w:val="0AA45A88"/>
    <w:rsid w:val="0AA90A8A"/>
    <w:rsid w:val="0AC57F95"/>
    <w:rsid w:val="0AFD11B5"/>
    <w:rsid w:val="0B06368F"/>
    <w:rsid w:val="0B074631"/>
    <w:rsid w:val="0B194D76"/>
    <w:rsid w:val="0B1957C1"/>
    <w:rsid w:val="0B1D711B"/>
    <w:rsid w:val="0B1E5445"/>
    <w:rsid w:val="0B2D12C3"/>
    <w:rsid w:val="0B38521C"/>
    <w:rsid w:val="0B39588D"/>
    <w:rsid w:val="0B3F57B0"/>
    <w:rsid w:val="0B5051C6"/>
    <w:rsid w:val="0B5A26BD"/>
    <w:rsid w:val="0B5F1858"/>
    <w:rsid w:val="0B6E2812"/>
    <w:rsid w:val="0B6E428A"/>
    <w:rsid w:val="0B84254C"/>
    <w:rsid w:val="0BAD1E5B"/>
    <w:rsid w:val="0BB377CC"/>
    <w:rsid w:val="0BBE69B7"/>
    <w:rsid w:val="0BF169DD"/>
    <w:rsid w:val="0BF40B2D"/>
    <w:rsid w:val="0C195694"/>
    <w:rsid w:val="0C1F4E62"/>
    <w:rsid w:val="0C2C72F9"/>
    <w:rsid w:val="0C551747"/>
    <w:rsid w:val="0C6D6CDB"/>
    <w:rsid w:val="0C72632A"/>
    <w:rsid w:val="0C7D0232"/>
    <w:rsid w:val="0C7E7DDA"/>
    <w:rsid w:val="0C9C3304"/>
    <w:rsid w:val="0C9C5862"/>
    <w:rsid w:val="0CA017AF"/>
    <w:rsid w:val="0CE74596"/>
    <w:rsid w:val="0CE80EAB"/>
    <w:rsid w:val="0CFD60AA"/>
    <w:rsid w:val="0D02131B"/>
    <w:rsid w:val="0D050866"/>
    <w:rsid w:val="0D050DCC"/>
    <w:rsid w:val="0D1E3094"/>
    <w:rsid w:val="0D470D50"/>
    <w:rsid w:val="0D517302"/>
    <w:rsid w:val="0D577B96"/>
    <w:rsid w:val="0D5F51CC"/>
    <w:rsid w:val="0D60357E"/>
    <w:rsid w:val="0D615A54"/>
    <w:rsid w:val="0D7A4489"/>
    <w:rsid w:val="0D876EEA"/>
    <w:rsid w:val="0D894C89"/>
    <w:rsid w:val="0D9B6177"/>
    <w:rsid w:val="0DB72B09"/>
    <w:rsid w:val="0DD0535F"/>
    <w:rsid w:val="0DD405FA"/>
    <w:rsid w:val="0DFB6B7F"/>
    <w:rsid w:val="0DFF54C7"/>
    <w:rsid w:val="0E236E8B"/>
    <w:rsid w:val="0E2C7819"/>
    <w:rsid w:val="0E2E0D6A"/>
    <w:rsid w:val="0E477695"/>
    <w:rsid w:val="0E48619E"/>
    <w:rsid w:val="0E4E2C15"/>
    <w:rsid w:val="0E4E461B"/>
    <w:rsid w:val="0E535622"/>
    <w:rsid w:val="0E6F42D4"/>
    <w:rsid w:val="0E8134DC"/>
    <w:rsid w:val="0E940172"/>
    <w:rsid w:val="0E9E5CFC"/>
    <w:rsid w:val="0EA717E9"/>
    <w:rsid w:val="0EA97D71"/>
    <w:rsid w:val="0EAF5498"/>
    <w:rsid w:val="0EB977F0"/>
    <w:rsid w:val="0EC23D13"/>
    <w:rsid w:val="0EC4045C"/>
    <w:rsid w:val="0EDC7FDB"/>
    <w:rsid w:val="0EE34D89"/>
    <w:rsid w:val="0EE4186D"/>
    <w:rsid w:val="0EF16F5B"/>
    <w:rsid w:val="0F2522F9"/>
    <w:rsid w:val="0F253B3A"/>
    <w:rsid w:val="0F262050"/>
    <w:rsid w:val="0F36163D"/>
    <w:rsid w:val="0F513B11"/>
    <w:rsid w:val="0F571ADD"/>
    <w:rsid w:val="0F5A0DCC"/>
    <w:rsid w:val="0F680BE0"/>
    <w:rsid w:val="0F77251A"/>
    <w:rsid w:val="0F86138F"/>
    <w:rsid w:val="0FB71A21"/>
    <w:rsid w:val="0FBD1A0B"/>
    <w:rsid w:val="0FBE6C9B"/>
    <w:rsid w:val="0FD70483"/>
    <w:rsid w:val="0FFA5826"/>
    <w:rsid w:val="10063D4A"/>
    <w:rsid w:val="10102909"/>
    <w:rsid w:val="101B4D4B"/>
    <w:rsid w:val="10246429"/>
    <w:rsid w:val="1030329B"/>
    <w:rsid w:val="104D3396"/>
    <w:rsid w:val="10655CF3"/>
    <w:rsid w:val="10685CBE"/>
    <w:rsid w:val="106D3814"/>
    <w:rsid w:val="107E2FFC"/>
    <w:rsid w:val="10862D7D"/>
    <w:rsid w:val="10AD79C5"/>
    <w:rsid w:val="10B22803"/>
    <w:rsid w:val="10B752BD"/>
    <w:rsid w:val="10BD6382"/>
    <w:rsid w:val="10BD68B8"/>
    <w:rsid w:val="10C676B7"/>
    <w:rsid w:val="10DD46B8"/>
    <w:rsid w:val="10DE40BD"/>
    <w:rsid w:val="10E277C0"/>
    <w:rsid w:val="10E66141"/>
    <w:rsid w:val="10E72E76"/>
    <w:rsid w:val="10E75BE2"/>
    <w:rsid w:val="10F94A0C"/>
    <w:rsid w:val="11083A01"/>
    <w:rsid w:val="112706AB"/>
    <w:rsid w:val="113777EC"/>
    <w:rsid w:val="1139405E"/>
    <w:rsid w:val="113F5FA3"/>
    <w:rsid w:val="115F6950"/>
    <w:rsid w:val="116D756E"/>
    <w:rsid w:val="117D4D8C"/>
    <w:rsid w:val="119B2D01"/>
    <w:rsid w:val="11A16837"/>
    <w:rsid w:val="11A71AF5"/>
    <w:rsid w:val="11B20CE6"/>
    <w:rsid w:val="11B71D0C"/>
    <w:rsid w:val="11B828FA"/>
    <w:rsid w:val="11CC653F"/>
    <w:rsid w:val="11CD3D63"/>
    <w:rsid w:val="11E11979"/>
    <w:rsid w:val="12032B3C"/>
    <w:rsid w:val="122E5DFF"/>
    <w:rsid w:val="126F255F"/>
    <w:rsid w:val="129D06D3"/>
    <w:rsid w:val="12A40A86"/>
    <w:rsid w:val="12AF625D"/>
    <w:rsid w:val="12B02035"/>
    <w:rsid w:val="12B818E2"/>
    <w:rsid w:val="12C81DAF"/>
    <w:rsid w:val="12C964A7"/>
    <w:rsid w:val="12CF43EE"/>
    <w:rsid w:val="12EA76F3"/>
    <w:rsid w:val="12F16635"/>
    <w:rsid w:val="12F916A3"/>
    <w:rsid w:val="12FB6C4C"/>
    <w:rsid w:val="130F5A14"/>
    <w:rsid w:val="131A02E9"/>
    <w:rsid w:val="131E57EC"/>
    <w:rsid w:val="1330703F"/>
    <w:rsid w:val="13337B71"/>
    <w:rsid w:val="133A1514"/>
    <w:rsid w:val="134C510D"/>
    <w:rsid w:val="1351694B"/>
    <w:rsid w:val="136817E4"/>
    <w:rsid w:val="13686927"/>
    <w:rsid w:val="13785FD7"/>
    <w:rsid w:val="13872122"/>
    <w:rsid w:val="139908E0"/>
    <w:rsid w:val="13995012"/>
    <w:rsid w:val="139A3B1E"/>
    <w:rsid w:val="139D5548"/>
    <w:rsid w:val="13A133DC"/>
    <w:rsid w:val="13B57A8B"/>
    <w:rsid w:val="13C26E3B"/>
    <w:rsid w:val="13C90583"/>
    <w:rsid w:val="13D13B54"/>
    <w:rsid w:val="13D53EE8"/>
    <w:rsid w:val="13EE1086"/>
    <w:rsid w:val="13FC4AED"/>
    <w:rsid w:val="1405042C"/>
    <w:rsid w:val="140A0B5E"/>
    <w:rsid w:val="140A2CE5"/>
    <w:rsid w:val="14166F4B"/>
    <w:rsid w:val="14170948"/>
    <w:rsid w:val="141B5745"/>
    <w:rsid w:val="141E4B63"/>
    <w:rsid w:val="14283809"/>
    <w:rsid w:val="14297EB3"/>
    <w:rsid w:val="142D459B"/>
    <w:rsid w:val="14371204"/>
    <w:rsid w:val="14384B38"/>
    <w:rsid w:val="143A100D"/>
    <w:rsid w:val="1444633F"/>
    <w:rsid w:val="1457366A"/>
    <w:rsid w:val="145D1229"/>
    <w:rsid w:val="1465287E"/>
    <w:rsid w:val="146E3F71"/>
    <w:rsid w:val="1487549A"/>
    <w:rsid w:val="14A32F3F"/>
    <w:rsid w:val="14B34EAC"/>
    <w:rsid w:val="14C857CA"/>
    <w:rsid w:val="14D479B6"/>
    <w:rsid w:val="14E33F6D"/>
    <w:rsid w:val="14EF5C38"/>
    <w:rsid w:val="14F72F12"/>
    <w:rsid w:val="15137FE8"/>
    <w:rsid w:val="15240222"/>
    <w:rsid w:val="15263FDB"/>
    <w:rsid w:val="15396384"/>
    <w:rsid w:val="154556F3"/>
    <w:rsid w:val="15470108"/>
    <w:rsid w:val="1547760C"/>
    <w:rsid w:val="15487AFB"/>
    <w:rsid w:val="154A6703"/>
    <w:rsid w:val="155F3E39"/>
    <w:rsid w:val="156F266A"/>
    <w:rsid w:val="158F0505"/>
    <w:rsid w:val="15A0052A"/>
    <w:rsid w:val="15A918D5"/>
    <w:rsid w:val="15BA25E7"/>
    <w:rsid w:val="15BA5305"/>
    <w:rsid w:val="15BD7ABA"/>
    <w:rsid w:val="15CE2FFB"/>
    <w:rsid w:val="15DD5B72"/>
    <w:rsid w:val="15DE5803"/>
    <w:rsid w:val="15EE222B"/>
    <w:rsid w:val="15FC5B9C"/>
    <w:rsid w:val="16134C45"/>
    <w:rsid w:val="161A7EE8"/>
    <w:rsid w:val="162714E3"/>
    <w:rsid w:val="16420C5E"/>
    <w:rsid w:val="164E081E"/>
    <w:rsid w:val="164E4CC1"/>
    <w:rsid w:val="16617DBC"/>
    <w:rsid w:val="16930926"/>
    <w:rsid w:val="16994E41"/>
    <w:rsid w:val="16B37830"/>
    <w:rsid w:val="16B40FC8"/>
    <w:rsid w:val="16B704B5"/>
    <w:rsid w:val="16B86C46"/>
    <w:rsid w:val="16BD3140"/>
    <w:rsid w:val="16CC54F9"/>
    <w:rsid w:val="16CD0401"/>
    <w:rsid w:val="16D73177"/>
    <w:rsid w:val="16E41DF0"/>
    <w:rsid w:val="16EB2E8A"/>
    <w:rsid w:val="16EC0129"/>
    <w:rsid w:val="16FC6002"/>
    <w:rsid w:val="17044186"/>
    <w:rsid w:val="17054379"/>
    <w:rsid w:val="17074293"/>
    <w:rsid w:val="170B516B"/>
    <w:rsid w:val="172057EF"/>
    <w:rsid w:val="172510D5"/>
    <w:rsid w:val="17471E3D"/>
    <w:rsid w:val="17586AF2"/>
    <w:rsid w:val="175D5C90"/>
    <w:rsid w:val="175F4BC8"/>
    <w:rsid w:val="176410EF"/>
    <w:rsid w:val="176D412A"/>
    <w:rsid w:val="17864BAB"/>
    <w:rsid w:val="179F4FC8"/>
    <w:rsid w:val="17AC7FA3"/>
    <w:rsid w:val="17E24692"/>
    <w:rsid w:val="17F50F83"/>
    <w:rsid w:val="181048C7"/>
    <w:rsid w:val="181D6E63"/>
    <w:rsid w:val="182E1238"/>
    <w:rsid w:val="18386DA3"/>
    <w:rsid w:val="183959BA"/>
    <w:rsid w:val="1857015B"/>
    <w:rsid w:val="1863703A"/>
    <w:rsid w:val="18674A43"/>
    <w:rsid w:val="1886376C"/>
    <w:rsid w:val="189214BF"/>
    <w:rsid w:val="189A6A27"/>
    <w:rsid w:val="18A8533F"/>
    <w:rsid w:val="18B80679"/>
    <w:rsid w:val="18C96881"/>
    <w:rsid w:val="18CE5D39"/>
    <w:rsid w:val="18CF5E88"/>
    <w:rsid w:val="18CF73AF"/>
    <w:rsid w:val="18DC19F6"/>
    <w:rsid w:val="18DC470B"/>
    <w:rsid w:val="18E335E0"/>
    <w:rsid w:val="18E72CEE"/>
    <w:rsid w:val="18EB1125"/>
    <w:rsid w:val="18EB43EE"/>
    <w:rsid w:val="19120228"/>
    <w:rsid w:val="1917300C"/>
    <w:rsid w:val="192D3BF0"/>
    <w:rsid w:val="19420680"/>
    <w:rsid w:val="1948612C"/>
    <w:rsid w:val="194A4079"/>
    <w:rsid w:val="19615F42"/>
    <w:rsid w:val="19731F22"/>
    <w:rsid w:val="19A61CC5"/>
    <w:rsid w:val="19AA3F65"/>
    <w:rsid w:val="19C16F1F"/>
    <w:rsid w:val="19CA01CC"/>
    <w:rsid w:val="19DD2C29"/>
    <w:rsid w:val="19DD3E99"/>
    <w:rsid w:val="19DF379A"/>
    <w:rsid w:val="19F723FF"/>
    <w:rsid w:val="1A02166B"/>
    <w:rsid w:val="1A0E6C42"/>
    <w:rsid w:val="1A2403EB"/>
    <w:rsid w:val="1A264176"/>
    <w:rsid w:val="1A341559"/>
    <w:rsid w:val="1A4F716C"/>
    <w:rsid w:val="1A7B78F3"/>
    <w:rsid w:val="1A8A4071"/>
    <w:rsid w:val="1A9311FE"/>
    <w:rsid w:val="1A9F5AEC"/>
    <w:rsid w:val="1AA7158E"/>
    <w:rsid w:val="1AF35086"/>
    <w:rsid w:val="1AF93F3E"/>
    <w:rsid w:val="1B0E226C"/>
    <w:rsid w:val="1B2B1DF2"/>
    <w:rsid w:val="1B2C1CFF"/>
    <w:rsid w:val="1B373F76"/>
    <w:rsid w:val="1B432F46"/>
    <w:rsid w:val="1B625FF6"/>
    <w:rsid w:val="1B754A9E"/>
    <w:rsid w:val="1B8B4075"/>
    <w:rsid w:val="1B8D5906"/>
    <w:rsid w:val="1B994422"/>
    <w:rsid w:val="1B9D00A3"/>
    <w:rsid w:val="1BAD326E"/>
    <w:rsid w:val="1BBB666E"/>
    <w:rsid w:val="1BC17CE4"/>
    <w:rsid w:val="1BC3419E"/>
    <w:rsid w:val="1BD475D4"/>
    <w:rsid w:val="1BD937BC"/>
    <w:rsid w:val="1C164B1B"/>
    <w:rsid w:val="1C251C2F"/>
    <w:rsid w:val="1C325923"/>
    <w:rsid w:val="1C4247AE"/>
    <w:rsid w:val="1C4500D0"/>
    <w:rsid w:val="1C4B6851"/>
    <w:rsid w:val="1C5662A1"/>
    <w:rsid w:val="1C5A36F7"/>
    <w:rsid w:val="1C603A50"/>
    <w:rsid w:val="1C610BFB"/>
    <w:rsid w:val="1C662592"/>
    <w:rsid w:val="1C7D6E2F"/>
    <w:rsid w:val="1C840948"/>
    <w:rsid w:val="1C8554E7"/>
    <w:rsid w:val="1C8D0568"/>
    <w:rsid w:val="1C8E0291"/>
    <w:rsid w:val="1CB30252"/>
    <w:rsid w:val="1CBB7632"/>
    <w:rsid w:val="1CBF03D1"/>
    <w:rsid w:val="1CBF7FB5"/>
    <w:rsid w:val="1CC15C34"/>
    <w:rsid w:val="1CCB7F3D"/>
    <w:rsid w:val="1CDA2D60"/>
    <w:rsid w:val="1CDB5968"/>
    <w:rsid w:val="1CEB3E9B"/>
    <w:rsid w:val="1CED5B94"/>
    <w:rsid w:val="1CED7DC0"/>
    <w:rsid w:val="1CF917ED"/>
    <w:rsid w:val="1D042899"/>
    <w:rsid w:val="1D081CB0"/>
    <w:rsid w:val="1D4B3D09"/>
    <w:rsid w:val="1D555CED"/>
    <w:rsid w:val="1D5F7577"/>
    <w:rsid w:val="1D754DED"/>
    <w:rsid w:val="1D882867"/>
    <w:rsid w:val="1DA66985"/>
    <w:rsid w:val="1DB97310"/>
    <w:rsid w:val="1DFE2083"/>
    <w:rsid w:val="1DFF510F"/>
    <w:rsid w:val="1E176196"/>
    <w:rsid w:val="1E1A4CD4"/>
    <w:rsid w:val="1E221E75"/>
    <w:rsid w:val="1E3904BC"/>
    <w:rsid w:val="1E4B57BF"/>
    <w:rsid w:val="1E541B68"/>
    <w:rsid w:val="1E546CEA"/>
    <w:rsid w:val="1E5866DD"/>
    <w:rsid w:val="1E692544"/>
    <w:rsid w:val="1E941CF0"/>
    <w:rsid w:val="1EBC2D27"/>
    <w:rsid w:val="1EC01DD3"/>
    <w:rsid w:val="1EC86D63"/>
    <w:rsid w:val="1ECC7F37"/>
    <w:rsid w:val="1EDC23DC"/>
    <w:rsid w:val="1EF26B32"/>
    <w:rsid w:val="1F060770"/>
    <w:rsid w:val="1F0A6460"/>
    <w:rsid w:val="1F144969"/>
    <w:rsid w:val="1F4C6A0D"/>
    <w:rsid w:val="1F6168F7"/>
    <w:rsid w:val="1FA74747"/>
    <w:rsid w:val="1FA77D59"/>
    <w:rsid w:val="1FC760F8"/>
    <w:rsid w:val="1FD47844"/>
    <w:rsid w:val="1FFE5062"/>
    <w:rsid w:val="20165968"/>
    <w:rsid w:val="2018298D"/>
    <w:rsid w:val="20232D1B"/>
    <w:rsid w:val="20570270"/>
    <w:rsid w:val="206A3402"/>
    <w:rsid w:val="2085282D"/>
    <w:rsid w:val="20A36670"/>
    <w:rsid w:val="20B81C0E"/>
    <w:rsid w:val="20B96BBD"/>
    <w:rsid w:val="20BA731F"/>
    <w:rsid w:val="20C07BAC"/>
    <w:rsid w:val="20CE0F6C"/>
    <w:rsid w:val="20EA0DF9"/>
    <w:rsid w:val="20F2705A"/>
    <w:rsid w:val="20FA707A"/>
    <w:rsid w:val="20FC2D5F"/>
    <w:rsid w:val="2100386B"/>
    <w:rsid w:val="210D2F93"/>
    <w:rsid w:val="211422AF"/>
    <w:rsid w:val="2133385A"/>
    <w:rsid w:val="21542D3F"/>
    <w:rsid w:val="2171017C"/>
    <w:rsid w:val="21AE77B6"/>
    <w:rsid w:val="21C14C45"/>
    <w:rsid w:val="21C20175"/>
    <w:rsid w:val="21C80A0D"/>
    <w:rsid w:val="21DD349D"/>
    <w:rsid w:val="21DE311D"/>
    <w:rsid w:val="21E10C54"/>
    <w:rsid w:val="21E751AE"/>
    <w:rsid w:val="21F40B3B"/>
    <w:rsid w:val="2205616B"/>
    <w:rsid w:val="220F5864"/>
    <w:rsid w:val="22252D7A"/>
    <w:rsid w:val="2229758F"/>
    <w:rsid w:val="223B3DA3"/>
    <w:rsid w:val="223F1EBC"/>
    <w:rsid w:val="22477195"/>
    <w:rsid w:val="224B61B3"/>
    <w:rsid w:val="2251528D"/>
    <w:rsid w:val="22551E62"/>
    <w:rsid w:val="225E39F8"/>
    <w:rsid w:val="225F7E72"/>
    <w:rsid w:val="22641203"/>
    <w:rsid w:val="22656241"/>
    <w:rsid w:val="22686C2D"/>
    <w:rsid w:val="22704263"/>
    <w:rsid w:val="228B3FD8"/>
    <w:rsid w:val="228C453A"/>
    <w:rsid w:val="22993363"/>
    <w:rsid w:val="22A330BD"/>
    <w:rsid w:val="22A707DA"/>
    <w:rsid w:val="22A75C14"/>
    <w:rsid w:val="22AC2870"/>
    <w:rsid w:val="22BB4723"/>
    <w:rsid w:val="22C521CC"/>
    <w:rsid w:val="22C5633E"/>
    <w:rsid w:val="22CC4E81"/>
    <w:rsid w:val="22CF25A9"/>
    <w:rsid w:val="22E43FB3"/>
    <w:rsid w:val="22F64717"/>
    <w:rsid w:val="23225D32"/>
    <w:rsid w:val="23312B72"/>
    <w:rsid w:val="23647C9E"/>
    <w:rsid w:val="236F6656"/>
    <w:rsid w:val="23732F31"/>
    <w:rsid w:val="2387637F"/>
    <w:rsid w:val="238E78D5"/>
    <w:rsid w:val="23965B23"/>
    <w:rsid w:val="23A24493"/>
    <w:rsid w:val="23B06522"/>
    <w:rsid w:val="23CA7C52"/>
    <w:rsid w:val="23E501C0"/>
    <w:rsid w:val="23F55BFB"/>
    <w:rsid w:val="241A7AC1"/>
    <w:rsid w:val="242D0591"/>
    <w:rsid w:val="24345664"/>
    <w:rsid w:val="243A0633"/>
    <w:rsid w:val="24447C32"/>
    <w:rsid w:val="24520E6C"/>
    <w:rsid w:val="245758EC"/>
    <w:rsid w:val="246350B6"/>
    <w:rsid w:val="246851A0"/>
    <w:rsid w:val="246C1826"/>
    <w:rsid w:val="24820AC3"/>
    <w:rsid w:val="24844924"/>
    <w:rsid w:val="24894BF1"/>
    <w:rsid w:val="248A74CE"/>
    <w:rsid w:val="24A1001F"/>
    <w:rsid w:val="24A4031E"/>
    <w:rsid w:val="24A53D7A"/>
    <w:rsid w:val="24AC0572"/>
    <w:rsid w:val="24CF6FCD"/>
    <w:rsid w:val="24D12967"/>
    <w:rsid w:val="24E94445"/>
    <w:rsid w:val="24EA3882"/>
    <w:rsid w:val="24F56F32"/>
    <w:rsid w:val="24FC267A"/>
    <w:rsid w:val="24FD0BD1"/>
    <w:rsid w:val="25007ACF"/>
    <w:rsid w:val="25040A7D"/>
    <w:rsid w:val="251057B2"/>
    <w:rsid w:val="25270E2A"/>
    <w:rsid w:val="254E1BBB"/>
    <w:rsid w:val="254F24E8"/>
    <w:rsid w:val="2564005E"/>
    <w:rsid w:val="25692846"/>
    <w:rsid w:val="2572366C"/>
    <w:rsid w:val="25771B73"/>
    <w:rsid w:val="25780405"/>
    <w:rsid w:val="257C10AC"/>
    <w:rsid w:val="257C1223"/>
    <w:rsid w:val="257F5094"/>
    <w:rsid w:val="2589322C"/>
    <w:rsid w:val="258C5683"/>
    <w:rsid w:val="25906D86"/>
    <w:rsid w:val="259B201B"/>
    <w:rsid w:val="25A509C7"/>
    <w:rsid w:val="25A6775E"/>
    <w:rsid w:val="25AA03A2"/>
    <w:rsid w:val="25BA46F2"/>
    <w:rsid w:val="25CD18EB"/>
    <w:rsid w:val="25D33915"/>
    <w:rsid w:val="25E3485F"/>
    <w:rsid w:val="25E47057"/>
    <w:rsid w:val="26007BD1"/>
    <w:rsid w:val="26142FAD"/>
    <w:rsid w:val="26270E94"/>
    <w:rsid w:val="26291864"/>
    <w:rsid w:val="262D4952"/>
    <w:rsid w:val="2630191C"/>
    <w:rsid w:val="263B7168"/>
    <w:rsid w:val="263F7B62"/>
    <w:rsid w:val="265861C5"/>
    <w:rsid w:val="26665E8F"/>
    <w:rsid w:val="26675B0F"/>
    <w:rsid w:val="26682962"/>
    <w:rsid w:val="2669308D"/>
    <w:rsid w:val="26744431"/>
    <w:rsid w:val="26791B68"/>
    <w:rsid w:val="267B2957"/>
    <w:rsid w:val="26910912"/>
    <w:rsid w:val="26930DA4"/>
    <w:rsid w:val="26A04B68"/>
    <w:rsid w:val="26A80029"/>
    <w:rsid w:val="26A80380"/>
    <w:rsid w:val="26A83F7A"/>
    <w:rsid w:val="26A954C3"/>
    <w:rsid w:val="26AB3D16"/>
    <w:rsid w:val="26C26C49"/>
    <w:rsid w:val="26C479D0"/>
    <w:rsid w:val="26D8206B"/>
    <w:rsid w:val="26D86C4A"/>
    <w:rsid w:val="26F531C5"/>
    <w:rsid w:val="27036070"/>
    <w:rsid w:val="270D5652"/>
    <w:rsid w:val="27103CA9"/>
    <w:rsid w:val="271F6082"/>
    <w:rsid w:val="2723171C"/>
    <w:rsid w:val="27246BCA"/>
    <w:rsid w:val="2732366D"/>
    <w:rsid w:val="27452B7C"/>
    <w:rsid w:val="27470BB4"/>
    <w:rsid w:val="276D2ACB"/>
    <w:rsid w:val="276E6CB1"/>
    <w:rsid w:val="277C2E0D"/>
    <w:rsid w:val="27810A9B"/>
    <w:rsid w:val="278E60FB"/>
    <w:rsid w:val="27A123CE"/>
    <w:rsid w:val="27A4180F"/>
    <w:rsid w:val="27AA5AD0"/>
    <w:rsid w:val="27AF69A5"/>
    <w:rsid w:val="27BB798F"/>
    <w:rsid w:val="27CA789F"/>
    <w:rsid w:val="27EF19E4"/>
    <w:rsid w:val="27F82B17"/>
    <w:rsid w:val="28206FEF"/>
    <w:rsid w:val="282D6911"/>
    <w:rsid w:val="282F34A2"/>
    <w:rsid w:val="28320345"/>
    <w:rsid w:val="28551EE0"/>
    <w:rsid w:val="286454FC"/>
    <w:rsid w:val="28657B53"/>
    <w:rsid w:val="28675903"/>
    <w:rsid w:val="287A225B"/>
    <w:rsid w:val="28805BEE"/>
    <w:rsid w:val="288242FD"/>
    <w:rsid w:val="28836A4D"/>
    <w:rsid w:val="288D37FB"/>
    <w:rsid w:val="2891706E"/>
    <w:rsid w:val="28943E32"/>
    <w:rsid w:val="28B13A41"/>
    <w:rsid w:val="28C94695"/>
    <w:rsid w:val="28D102AE"/>
    <w:rsid w:val="28E2124B"/>
    <w:rsid w:val="28E31299"/>
    <w:rsid w:val="28EC657A"/>
    <w:rsid w:val="29034797"/>
    <w:rsid w:val="291E4A14"/>
    <w:rsid w:val="292023D9"/>
    <w:rsid w:val="293F5512"/>
    <w:rsid w:val="294E4613"/>
    <w:rsid w:val="29543032"/>
    <w:rsid w:val="29627DB7"/>
    <w:rsid w:val="2979048E"/>
    <w:rsid w:val="297A2078"/>
    <w:rsid w:val="29841EE3"/>
    <w:rsid w:val="29A0362E"/>
    <w:rsid w:val="29B91A10"/>
    <w:rsid w:val="29C32045"/>
    <w:rsid w:val="29D60A90"/>
    <w:rsid w:val="29D94F46"/>
    <w:rsid w:val="29DE6102"/>
    <w:rsid w:val="29EB2D9B"/>
    <w:rsid w:val="2A1F27A5"/>
    <w:rsid w:val="2A212039"/>
    <w:rsid w:val="2A2A22EE"/>
    <w:rsid w:val="2A3E421D"/>
    <w:rsid w:val="2A497822"/>
    <w:rsid w:val="2A4D5475"/>
    <w:rsid w:val="2A597BB9"/>
    <w:rsid w:val="2A96493A"/>
    <w:rsid w:val="2AA24635"/>
    <w:rsid w:val="2AA65F4F"/>
    <w:rsid w:val="2AB35AD3"/>
    <w:rsid w:val="2AB74CB8"/>
    <w:rsid w:val="2ABB7B2F"/>
    <w:rsid w:val="2AC51773"/>
    <w:rsid w:val="2AD931FB"/>
    <w:rsid w:val="2AD96B3A"/>
    <w:rsid w:val="2ADB055C"/>
    <w:rsid w:val="2AE5273E"/>
    <w:rsid w:val="2AF649C6"/>
    <w:rsid w:val="2AF7645A"/>
    <w:rsid w:val="2AF84D34"/>
    <w:rsid w:val="2B012D8E"/>
    <w:rsid w:val="2B0306AE"/>
    <w:rsid w:val="2B087639"/>
    <w:rsid w:val="2B0C2E61"/>
    <w:rsid w:val="2B0F7098"/>
    <w:rsid w:val="2B2F3F05"/>
    <w:rsid w:val="2B3D1646"/>
    <w:rsid w:val="2B450A0F"/>
    <w:rsid w:val="2B47568D"/>
    <w:rsid w:val="2B5411F4"/>
    <w:rsid w:val="2B657A90"/>
    <w:rsid w:val="2B6E4EE0"/>
    <w:rsid w:val="2B715DD2"/>
    <w:rsid w:val="2B7D29EA"/>
    <w:rsid w:val="2BA47406"/>
    <w:rsid w:val="2BAD5040"/>
    <w:rsid w:val="2BB3478A"/>
    <w:rsid w:val="2BB6276F"/>
    <w:rsid w:val="2BC75E09"/>
    <w:rsid w:val="2BF956BE"/>
    <w:rsid w:val="2BFE39F7"/>
    <w:rsid w:val="2C2867DD"/>
    <w:rsid w:val="2C2A4AA2"/>
    <w:rsid w:val="2C457C37"/>
    <w:rsid w:val="2C4D14C0"/>
    <w:rsid w:val="2C52071C"/>
    <w:rsid w:val="2C684675"/>
    <w:rsid w:val="2C78032F"/>
    <w:rsid w:val="2C79146C"/>
    <w:rsid w:val="2C9C6DD7"/>
    <w:rsid w:val="2CA80617"/>
    <w:rsid w:val="2CDB518D"/>
    <w:rsid w:val="2CDD4B4D"/>
    <w:rsid w:val="2D0C22AE"/>
    <w:rsid w:val="2D0E24AD"/>
    <w:rsid w:val="2D252EB5"/>
    <w:rsid w:val="2D2D43B1"/>
    <w:rsid w:val="2D471D56"/>
    <w:rsid w:val="2D5B6FB4"/>
    <w:rsid w:val="2D8639BE"/>
    <w:rsid w:val="2D8C6AD8"/>
    <w:rsid w:val="2DAD788B"/>
    <w:rsid w:val="2DC7169D"/>
    <w:rsid w:val="2DCB765C"/>
    <w:rsid w:val="2DD04023"/>
    <w:rsid w:val="2DD10B25"/>
    <w:rsid w:val="2DD35D80"/>
    <w:rsid w:val="2DDD43CD"/>
    <w:rsid w:val="2DE7054F"/>
    <w:rsid w:val="2DFE25B4"/>
    <w:rsid w:val="2E030505"/>
    <w:rsid w:val="2E0C18E5"/>
    <w:rsid w:val="2E182D20"/>
    <w:rsid w:val="2E1A25BD"/>
    <w:rsid w:val="2E230FB9"/>
    <w:rsid w:val="2E2C6842"/>
    <w:rsid w:val="2E394DF0"/>
    <w:rsid w:val="2E5A3907"/>
    <w:rsid w:val="2E5C0DF4"/>
    <w:rsid w:val="2E5D6236"/>
    <w:rsid w:val="2E5F6BC8"/>
    <w:rsid w:val="2E6A4A72"/>
    <w:rsid w:val="2E6F5878"/>
    <w:rsid w:val="2E7112DE"/>
    <w:rsid w:val="2E770C57"/>
    <w:rsid w:val="2E86631B"/>
    <w:rsid w:val="2E896288"/>
    <w:rsid w:val="2E917D14"/>
    <w:rsid w:val="2EA04FA8"/>
    <w:rsid w:val="2EB4068F"/>
    <w:rsid w:val="2EB92CB3"/>
    <w:rsid w:val="2EC677D2"/>
    <w:rsid w:val="2ED645E4"/>
    <w:rsid w:val="2EDF1560"/>
    <w:rsid w:val="2EE31BD0"/>
    <w:rsid w:val="2EF522C0"/>
    <w:rsid w:val="2F066DF6"/>
    <w:rsid w:val="2F0809EF"/>
    <w:rsid w:val="2F0D0787"/>
    <w:rsid w:val="2F0D2540"/>
    <w:rsid w:val="2F0D30CF"/>
    <w:rsid w:val="2F160208"/>
    <w:rsid w:val="2F16383E"/>
    <w:rsid w:val="2F1808D1"/>
    <w:rsid w:val="2F1D58A8"/>
    <w:rsid w:val="2F276BD0"/>
    <w:rsid w:val="2F28658F"/>
    <w:rsid w:val="2F29214E"/>
    <w:rsid w:val="2F2C0E88"/>
    <w:rsid w:val="2F3B21FA"/>
    <w:rsid w:val="2F4C1A7E"/>
    <w:rsid w:val="2F4F046D"/>
    <w:rsid w:val="2F576B81"/>
    <w:rsid w:val="2F675C7D"/>
    <w:rsid w:val="2F6E35CB"/>
    <w:rsid w:val="2F742047"/>
    <w:rsid w:val="2F877DFD"/>
    <w:rsid w:val="2FA31782"/>
    <w:rsid w:val="2FB619CA"/>
    <w:rsid w:val="2FD00080"/>
    <w:rsid w:val="2FD960EE"/>
    <w:rsid w:val="2FDC6090"/>
    <w:rsid w:val="2FE91982"/>
    <w:rsid w:val="2FEE0A0B"/>
    <w:rsid w:val="2FF84360"/>
    <w:rsid w:val="30062758"/>
    <w:rsid w:val="301A3A86"/>
    <w:rsid w:val="301E7EDA"/>
    <w:rsid w:val="30214F66"/>
    <w:rsid w:val="30260A8E"/>
    <w:rsid w:val="3026131F"/>
    <w:rsid w:val="302B2FEC"/>
    <w:rsid w:val="303327F9"/>
    <w:rsid w:val="303A03E8"/>
    <w:rsid w:val="30513D74"/>
    <w:rsid w:val="305C3913"/>
    <w:rsid w:val="305F123C"/>
    <w:rsid w:val="307355F9"/>
    <w:rsid w:val="30797F37"/>
    <w:rsid w:val="30824D5E"/>
    <w:rsid w:val="30836380"/>
    <w:rsid w:val="30947629"/>
    <w:rsid w:val="309A5606"/>
    <w:rsid w:val="30B152A0"/>
    <w:rsid w:val="30B45328"/>
    <w:rsid w:val="30BE16FF"/>
    <w:rsid w:val="30BE6F4E"/>
    <w:rsid w:val="30C6397A"/>
    <w:rsid w:val="30C85928"/>
    <w:rsid w:val="30CA540A"/>
    <w:rsid w:val="30E0109B"/>
    <w:rsid w:val="30F56787"/>
    <w:rsid w:val="30F92EA9"/>
    <w:rsid w:val="310551B4"/>
    <w:rsid w:val="310910B3"/>
    <w:rsid w:val="310C0556"/>
    <w:rsid w:val="310D3357"/>
    <w:rsid w:val="310E417C"/>
    <w:rsid w:val="31162CC0"/>
    <w:rsid w:val="311C6CE7"/>
    <w:rsid w:val="31204A78"/>
    <w:rsid w:val="312C5A08"/>
    <w:rsid w:val="31380B3F"/>
    <w:rsid w:val="3140197F"/>
    <w:rsid w:val="314E5DA4"/>
    <w:rsid w:val="31596515"/>
    <w:rsid w:val="316F1456"/>
    <w:rsid w:val="316F30DA"/>
    <w:rsid w:val="317A291E"/>
    <w:rsid w:val="31833460"/>
    <w:rsid w:val="319B1637"/>
    <w:rsid w:val="319C292D"/>
    <w:rsid w:val="31A37E16"/>
    <w:rsid w:val="31AB0F5D"/>
    <w:rsid w:val="31B82C1E"/>
    <w:rsid w:val="31C84985"/>
    <w:rsid w:val="31EA6560"/>
    <w:rsid w:val="321003DB"/>
    <w:rsid w:val="3211678F"/>
    <w:rsid w:val="32464461"/>
    <w:rsid w:val="324A2F2E"/>
    <w:rsid w:val="32560B1D"/>
    <w:rsid w:val="326D1883"/>
    <w:rsid w:val="326E1768"/>
    <w:rsid w:val="327D6BD2"/>
    <w:rsid w:val="328F7AAC"/>
    <w:rsid w:val="329331B2"/>
    <w:rsid w:val="32B7133F"/>
    <w:rsid w:val="32C2111D"/>
    <w:rsid w:val="32DB21CB"/>
    <w:rsid w:val="32E55C4E"/>
    <w:rsid w:val="32EC499F"/>
    <w:rsid w:val="3300495B"/>
    <w:rsid w:val="3305684F"/>
    <w:rsid w:val="330823F7"/>
    <w:rsid w:val="330A6248"/>
    <w:rsid w:val="33212546"/>
    <w:rsid w:val="33235AAF"/>
    <w:rsid w:val="3323670F"/>
    <w:rsid w:val="33372B77"/>
    <w:rsid w:val="333918AA"/>
    <w:rsid w:val="333D7CE2"/>
    <w:rsid w:val="334154A4"/>
    <w:rsid w:val="334C5399"/>
    <w:rsid w:val="335F3C12"/>
    <w:rsid w:val="336A0712"/>
    <w:rsid w:val="337D3F8E"/>
    <w:rsid w:val="338533DB"/>
    <w:rsid w:val="339816B3"/>
    <w:rsid w:val="3399080E"/>
    <w:rsid w:val="33A62A88"/>
    <w:rsid w:val="33BE7649"/>
    <w:rsid w:val="33D0525E"/>
    <w:rsid w:val="33D503F9"/>
    <w:rsid w:val="33DB2D97"/>
    <w:rsid w:val="33DE5DD1"/>
    <w:rsid w:val="33EC20BE"/>
    <w:rsid w:val="33F909CF"/>
    <w:rsid w:val="33FB1B8D"/>
    <w:rsid w:val="33FC2592"/>
    <w:rsid w:val="341D5163"/>
    <w:rsid w:val="3424001A"/>
    <w:rsid w:val="343C1FE6"/>
    <w:rsid w:val="343D4F7C"/>
    <w:rsid w:val="346F49BE"/>
    <w:rsid w:val="34706048"/>
    <w:rsid w:val="347B5261"/>
    <w:rsid w:val="348A2EF2"/>
    <w:rsid w:val="349D1A84"/>
    <w:rsid w:val="34AC70A4"/>
    <w:rsid w:val="34AD29B6"/>
    <w:rsid w:val="34C3426E"/>
    <w:rsid w:val="34C36B7E"/>
    <w:rsid w:val="34C44B06"/>
    <w:rsid w:val="34E32C23"/>
    <w:rsid w:val="34FB2280"/>
    <w:rsid w:val="34FC6BBC"/>
    <w:rsid w:val="35013CE3"/>
    <w:rsid w:val="350C1320"/>
    <w:rsid w:val="350E46B8"/>
    <w:rsid w:val="35196C86"/>
    <w:rsid w:val="3522670F"/>
    <w:rsid w:val="352663F5"/>
    <w:rsid w:val="353379F8"/>
    <w:rsid w:val="35480EEF"/>
    <w:rsid w:val="354F2B12"/>
    <w:rsid w:val="35555378"/>
    <w:rsid w:val="355C4088"/>
    <w:rsid w:val="35721036"/>
    <w:rsid w:val="357A2CF9"/>
    <w:rsid w:val="357D538B"/>
    <w:rsid w:val="35813B39"/>
    <w:rsid w:val="3587712D"/>
    <w:rsid w:val="35930185"/>
    <w:rsid w:val="35B04539"/>
    <w:rsid w:val="35B45079"/>
    <w:rsid w:val="35C032BE"/>
    <w:rsid w:val="35C8735F"/>
    <w:rsid w:val="35DC779C"/>
    <w:rsid w:val="35E1263E"/>
    <w:rsid w:val="35FC4464"/>
    <w:rsid w:val="360729D0"/>
    <w:rsid w:val="360916AA"/>
    <w:rsid w:val="36125686"/>
    <w:rsid w:val="36157808"/>
    <w:rsid w:val="361F3588"/>
    <w:rsid w:val="36201BCC"/>
    <w:rsid w:val="36276452"/>
    <w:rsid w:val="36295AB4"/>
    <w:rsid w:val="3646477C"/>
    <w:rsid w:val="364F680E"/>
    <w:rsid w:val="365402C4"/>
    <w:rsid w:val="365B6680"/>
    <w:rsid w:val="36767D38"/>
    <w:rsid w:val="369C597C"/>
    <w:rsid w:val="36BA1C2D"/>
    <w:rsid w:val="36DE3F15"/>
    <w:rsid w:val="36EE5DA2"/>
    <w:rsid w:val="36F22042"/>
    <w:rsid w:val="36FA1485"/>
    <w:rsid w:val="370F0AFB"/>
    <w:rsid w:val="37307A23"/>
    <w:rsid w:val="37325D7A"/>
    <w:rsid w:val="373B05AC"/>
    <w:rsid w:val="37407579"/>
    <w:rsid w:val="37636C46"/>
    <w:rsid w:val="37660D5D"/>
    <w:rsid w:val="37697079"/>
    <w:rsid w:val="377127C0"/>
    <w:rsid w:val="37712C84"/>
    <w:rsid w:val="3791651D"/>
    <w:rsid w:val="379C1C02"/>
    <w:rsid w:val="379D0E07"/>
    <w:rsid w:val="37A64202"/>
    <w:rsid w:val="37B51DD2"/>
    <w:rsid w:val="37BA594F"/>
    <w:rsid w:val="37EB5BF2"/>
    <w:rsid w:val="37EC04C1"/>
    <w:rsid w:val="37FF5812"/>
    <w:rsid w:val="380405E9"/>
    <w:rsid w:val="380912E9"/>
    <w:rsid w:val="381E2C17"/>
    <w:rsid w:val="3821534A"/>
    <w:rsid w:val="384935C7"/>
    <w:rsid w:val="385721EF"/>
    <w:rsid w:val="385B430B"/>
    <w:rsid w:val="387E1FCF"/>
    <w:rsid w:val="38A05037"/>
    <w:rsid w:val="38A8179E"/>
    <w:rsid w:val="38B03A19"/>
    <w:rsid w:val="38B17F64"/>
    <w:rsid w:val="38D07EFD"/>
    <w:rsid w:val="38FD6532"/>
    <w:rsid w:val="393371EA"/>
    <w:rsid w:val="394364B5"/>
    <w:rsid w:val="394955B9"/>
    <w:rsid w:val="395313DA"/>
    <w:rsid w:val="39614B59"/>
    <w:rsid w:val="397844F6"/>
    <w:rsid w:val="398048E2"/>
    <w:rsid w:val="398648EE"/>
    <w:rsid w:val="399164B6"/>
    <w:rsid w:val="39AF63CE"/>
    <w:rsid w:val="39BB7346"/>
    <w:rsid w:val="39F8681F"/>
    <w:rsid w:val="3A00722D"/>
    <w:rsid w:val="3A034BAE"/>
    <w:rsid w:val="3A0362F7"/>
    <w:rsid w:val="3A1B0208"/>
    <w:rsid w:val="3A234C5C"/>
    <w:rsid w:val="3A23550D"/>
    <w:rsid w:val="3A373539"/>
    <w:rsid w:val="3A4236B1"/>
    <w:rsid w:val="3A473AD0"/>
    <w:rsid w:val="3A49242D"/>
    <w:rsid w:val="3A52002D"/>
    <w:rsid w:val="3A5B4B11"/>
    <w:rsid w:val="3A5C056A"/>
    <w:rsid w:val="3A774DDF"/>
    <w:rsid w:val="3A843924"/>
    <w:rsid w:val="3A901F7A"/>
    <w:rsid w:val="3A907DBD"/>
    <w:rsid w:val="3A927296"/>
    <w:rsid w:val="3A9502E3"/>
    <w:rsid w:val="3AA762A7"/>
    <w:rsid w:val="3AB10D02"/>
    <w:rsid w:val="3ACB1861"/>
    <w:rsid w:val="3AE0479D"/>
    <w:rsid w:val="3AE914EC"/>
    <w:rsid w:val="3AFB5DA5"/>
    <w:rsid w:val="3B004CA8"/>
    <w:rsid w:val="3B02185C"/>
    <w:rsid w:val="3B55332F"/>
    <w:rsid w:val="3B5B75AA"/>
    <w:rsid w:val="3B6D7BDB"/>
    <w:rsid w:val="3B6E160F"/>
    <w:rsid w:val="3B700C05"/>
    <w:rsid w:val="3B7F29C1"/>
    <w:rsid w:val="3B8A4B98"/>
    <w:rsid w:val="3B8C2D10"/>
    <w:rsid w:val="3B8D3043"/>
    <w:rsid w:val="3B934614"/>
    <w:rsid w:val="3B97109D"/>
    <w:rsid w:val="3B9902A5"/>
    <w:rsid w:val="3BA27AA5"/>
    <w:rsid w:val="3BA63E6E"/>
    <w:rsid w:val="3BB44F02"/>
    <w:rsid w:val="3BFA44D2"/>
    <w:rsid w:val="3BFC4ADF"/>
    <w:rsid w:val="3BFC52F7"/>
    <w:rsid w:val="3C2D04F8"/>
    <w:rsid w:val="3C444E74"/>
    <w:rsid w:val="3C450C57"/>
    <w:rsid w:val="3C4E15A7"/>
    <w:rsid w:val="3C5D0F8F"/>
    <w:rsid w:val="3C65509E"/>
    <w:rsid w:val="3C682428"/>
    <w:rsid w:val="3C947BE8"/>
    <w:rsid w:val="3C9839FE"/>
    <w:rsid w:val="3CAB37E1"/>
    <w:rsid w:val="3CB3052B"/>
    <w:rsid w:val="3CB672CA"/>
    <w:rsid w:val="3CBC7116"/>
    <w:rsid w:val="3CBC733C"/>
    <w:rsid w:val="3CBE5BC4"/>
    <w:rsid w:val="3CD15E35"/>
    <w:rsid w:val="3CD93912"/>
    <w:rsid w:val="3CDE7D53"/>
    <w:rsid w:val="3CE6525D"/>
    <w:rsid w:val="3CED2E26"/>
    <w:rsid w:val="3D042B4A"/>
    <w:rsid w:val="3D0E6950"/>
    <w:rsid w:val="3D1141E0"/>
    <w:rsid w:val="3D12086E"/>
    <w:rsid w:val="3D1621B5"/>
    <w:rsid w:val="3D2C05AF"/>
    <w:rsid w:val="3D324146"/>
    <w:rsid w:val="3D3659E4"/>
    <w:rsid w:val="3D407F0C"/>
    <w:rsid w:val="3D615EC3"/>
    <w:rsid w:val="3D6E46A2"/>
    <w:rsid w:val="3D772E45"/>
    <w:rsid w:val="3D876068"/>
    <w:rsid w:val="3D94161B"/>
    <w:rsid w:val="3DA42DE2"/>
    <w:rsid w:val="3DBA5543"/>
    <w:rsid w:val="3DBA61FF"/>
    <w:rsid w:val="3DC73752"/>
    <w:rsid w:val="3DCE0312"/>
    <w:rsid w:val="3DD60CD4"/>
    <w:rsid w:val="3DD64C67"/>
    <w:rsid w:val="3DDB33A6"/>
    <w:rsid w:val="3DF437A2"/>
    <w:rsid w:val="3DF55B0A"/>
    <w:rsid w:val="3E03137C"/>
    <w:rsid w:val="3E100256"/>
    <w:rsid w:val="3E194130"/>
    <w:rsid w:val="3E195EE1"/>
    <w:rsid w:val="3E1A43B2"/>
    <w:rsid w:val="3E240880"/>
    <w:rsid w:val="3E643CC5"/>
    <w:rsid w:val="3E6A5CCC"/>
    <w:rsid w:val="3E6A667D"/>
    <w:rsid w:val="3E712C24"/>
    <w:rsid w:val="3E8B4A7E"/>
    <w:rsid w:val="3E8F6DE8"/>
    <w:rsid w:val="3E9230EE"/>
    <w:rsid w:val="3E9A6446"/>
    <w:rsid w:val="3EA707B4"/>
    <w:rsid w:val="3EA72417"/>
    <w:rsid w:val="3EAC24F6"/>
    <w:rsid w:val="3EB06D1F"/>
    <w:rsid w:val="3EBF5AAB"/>
    <w:rsid w:val="3ED668C7"/>
    <w:rsid w:val="3EE51A69"/>
    <w:rsid w:val="3EEB5B3F"/>
    <w:rsid w:val="3F0651D1"/>
    <w:rsid w:val="3F0D626E"/>
    <w:rsid w:val="3F110910"/>
    <w:rsid w:val="3F276B5D"/>
    <w:rsid w:val="3F276DB3"/>
    <w:rsid w:val="3F2B30AF"/>
    <w:rsid w:val="3F2C046B"/>
    <w:rsid w:val="3F3654BC"/>
    <w:rsid w:val="3F380AAF"/>
    <w:rsid w:val="3F3917BB"/>
    <w:rsid w:val="3F3D7716"/>
    <w:rsid w:val="3F525E66"/>
    <w:rsid w:val="3F5274EE"/>
    <w:rsid w:val="3F543DE0"/>
    <w:rsid w:val="3F8B346B"/>
    <w:rsid w:val="3FA328B1"/>
    <w:rsid w:val="3FAF4EE6"/>
    <w:rsid w:val="3FCE320D"/>
    <w:rsid w:val="3FD63000"/>
    <w:rsid w:val="3FDC2B4A"/>
    <w:rsid w:val="3FEE33D3"/>
    <w:rsid w:val="40063E16"/>
    <w:rsid w:val="40081C5C"/>
    <w:rsid w:val="400E7027"/>
    <w:rsid w:val="40104C12"/>
    <w:rsid w:val="403837A1"/>
    <w:rsid w:val="403D3931"/>
    <w:rsid w:val="40424893"/>
    <w:rsid w:val="4047615A"/>
    <w:rsid w:val="404A41F1"/>
    <w:rsid w:val="4053216B"/>
    <w:rsid w:val="405B18DA"/>
    <w:rsid w:val="406D52CB"/>
    <w:rsid w:val="40820CCC"/>
    <w:rsid w:val="40892A52"/>
    <w:rsid w:val="409A0D09"/>
    <w:rsid w:val="40AF2D45"/>
    <w:rsid w:val="40B4195A"/>
    <w:rsid w:val="40D02788"/>
    <w:rsid w:val="40E93757"/>
    <w:rsid w:val="40F01753"/>
    <w:rsid w:val="40F86A2A"/>
    <w:rsid w:val="40FE60CE"/>
    <w:rsid w:val="40FF1E9D"/>
    <w:rsid w:val="410B144D"/>
    <w:rsid w:val="410C2FE2"/>
    <w:rsid w:val="411927E0"/>
    <w:rsid w:val="41393CF5"/>
    <w:rsid w:val="413E1100"/>
    <w:rsid w:val="413F1BCB"/>
    <w:rsid w:val="414A75BB"/>
    <w:rsid w:val="41522A86"/>
    <w:rsid w:val="415C4051"/>
    <w:rsid w:val="41632549"/>
    <w:rsid w:val="417C50AB"/>
    <w:rsid w:val="418F3B96"/>
    <w:rsid w:val="418F4F7F"/>
    <w:rsid w:val="419F2582"/>
    <w:rsid w:val="41AA1942"/>
    <w:rsid w:val="41B744B8"/>
    <w:rsid w:val="41D323AB"/>
    <w:rsid w:val="41D65E99"/>
    <w:rsid w:val="41D87C31"/>
    <w:rsid w:val="41EA1096"/>
    <w:rsid w:val="42191531"/>
    <w:rsid w:val="4228510A"/>
    <w:rsid w:val="42295F28"/>
    <w:rsid w:val="422F43E5"/>
    <w:rsid w:val="4233496A"/>
    <w:rsid w:val="423E67D2"/>
    <w:rsid w:val="42572174"/>
    <w:rsid w:val="425E539A"/>
    <w:rsid w:val="425F5ED9"/>
    <w:rsid w:val="426D1D88"/>
    <w:rsid w:val="42705095"/>
    <w:rsid w:val="42831D2D"/>
    <w:rsid w:val="428471F1"/>
    <w:rsid w:val="42972F00"/>
    <w:rsid w:val="42982B70"/>
    <w:rsid w:val="42B14BD5"/>
    <w:rsid w:val="42B21F0C"/>
    <w:rsid w:val="42CA5C66"/>
    <w:rsid w:val="42D35192"/>
    <w:rsid w:val="42D37DB5"/>
    <w:rsid w:val="42D746A9"/>
    <w:rsid w:val="42DF6B1E"/>
    <w:rsid w:val="42DF7587"/>
    <w:rsid w:val="42E20836"/>
    <w:rsid w:val="42E226B9"/>
    <w:rsid w:val="42FB6E10"/>
    <w:rsid w:val="430C0A62"/>
    <w:rsid w:val="431653DC"/>
    <w:rsid w:val="43284D3C"/>
    <w:rsid w:val="433A3D9E"/>
    <w:rsid w:val="434237BE"/>
    <w:rsid w:val="436F462B"/>
    <w:rsid w:val="43790B41"/>
    <w:rsid w:val="438C3CC5"/>
    <w:rsid w:val="439D03FE"/>
    <w:rsid w:val="43A94532"/>
    <w:rsid w:val="43CA157C"/>
    <w:rsid w:val="43CD00D1"/>
    <w:rsid w:val="43D4496F"/>
    <w:rsid w:val="43D5157C"/>
    <w:rsid w:val="43E51837"/>
    <w:rsid w:val="43EC7395"/>
    <w:rsid w:val="43ED40BD"/>
    <w:rsid w:val="43FD36FF"/>
    <w:rsid w:val="44184917"/>
    <w:rsid w:val="442A1121"/>
    <w:rsid w:val="44393204"/>
    <w:rsid w:val="44494B04"/>
    <w:rsid w:val="444E1276"/>
    <w:rsid w:val="44684B77"/>
    <w:rsid w:val="447339C1"/>
    <w:rsid w:val="44772A0F"/>
    <w:rsid w:val="44875198"/>
    <w:rsid w:val="448B732E"/>
    <w:rsid w:val="448C6831"/>
    <w:rsid w:val="44921580"/>
    <w:rsid w:val="449A0818"/>
    <w:rsid w:val="44C0051B"/>
    <w:rsid w:val="44D65A5B"/>
    <w:rsid w:val="44D95352"/>
    <w:rsid w:val="44DA57EF"/>
    <w:rsid w:val="44E34318"/>
    <w:rsid w:val="44E87F0C"/>
    <w:rsid w:val="44ED41C5"/>
    <w:rsid w:val="44F03DB4"/>
    <w:rsid w:val="45107462"/>
    <w:rsid w:val="452151CC"/>
    <w:rsid w:val="45221165"/>
    <w:rsid w:val="45236DFE"/>
    <w:rsid w:val="453B7A10"/>
    <w:rsid w:val="453C2DB4"/>
    <w:rsid w:val="454001DA"/>
    <w:rsid w:val="454C7FA2"/>
    <w:rsid w:val="454E1C6A"/>
    <w:rsid w:val="454F4938"/>
    <w:rsid w:val="45577645"/>
    <w:rsid w:val="456536D6"/>
    <w:rsid w:val="4569090C"/>
    <w:rsid w:val="45766369"/>
    <w:rsid w:val="4577532A"/>
    <w:rsid w:val="45930686"/>
    <w:rsid w:val="45B209A6"/>
    <w:rsid w:val="45BB0276"/>
    <w:rsid w:val="45CD31F5"/>
    <w:rsid w:val="45CD69B6"/>
    <w:rsid w:val="45CF0738"/>
    <w:rsid w:val="45FC0CDF"/>
    <w:rsid w:val="461C348E"/>
    <w:rsid w:val="46227247"/>
    <w:rsid w:val="463041C7"/>
    <w:rsid w:val="463741E3"/>
    <w:rsid w:val="46487122"/>
    <w:rsid w:val="46560EA9"/>
    <w:rsid w:val="465C41AC"/>
    <w:rsid w:val="46665533"/>
    <w:rsid w:val="46783961"/>
    <w:rsid w:val="46793646"/>
    <w:rsid w:val="46845A12"/>
    <w:rsid w:val="469C564A"/>
    <w:rsid w:val="46AB3B20"/>
    <w:rsid w:val="46BA0CB9"/>
    <w:rsid w:val="46C71DA3"/>
    <w:rsid w:val="46EE5581"/>
    <w:rsid w:val="46F10BCE"/>
    <w:rsid w:val="46F4765C"/>
    <w:rsid w:val="46FB29D3"/>
    <w:rsid w:val="47094D6E"/>
    <w:rsid w:val="470E0584"/>
    <w:rsid w:val="473C3C4B"/>
    <w:rsid w:val="47454F9A"/>
    <w:rsid w:val="4748142D"/>
    <w:rsid w:val="475B30E6"/>
    <w:rsid w:val="476423E6"/>
    <w:rsid w:val="47714E73"/>
    <w:rsid w:val="47916361"/>
    <w:rsid w:val="47A45B98"/>
    <w:rsid w:val="47B34371"/>
    <w:rsid w:val="47B6181D"/>
    <w:rsid w:val="47C63ADE"/>
    <w:rsid w:val="47D76D3E"/>
    <w:rsid w:val="47DB3C9F"/>
    <w:rsid w:val="47EE6881"/>
    <w:rsid w:val="47F4191C"/>
    <w:rsid w:val="48024092"/>
    <w:rsid w:val="480E1BB5"/>
    <w:rsid w:val="481F038A"/>
    <w:rsid w:val="482E4C9D"/>
    <w:rsid w:val="483C7010"/>
    <w:rsid w:val="48405C8E"/>
    <w:rsid w:val="48516FB5"/>
    <w:rsid w:val="485823E5"/>
    <w:rsid w:val="485B27A2"/>
    <w:rsid w:val="48602F63"/>
    <w:rsid w:val="486D26DF"/>
    <w:rsid w:val="48780170"/>
    <w:rsid w:val="48A83671"/>
    <w:rsid w:val="48B25D55"/>
    <w:rsid w:val="48BC0C98"/>
    <w:rsid w:val="48CF6454"/>
    <w:rsid w:val="48D6451F"/>
    <w:rsid w:val="48E4406D"/>
    <w:rsid w:val="48F22FD0"/>
    <w:rsid w:val="48F50E49"/>
    <w:rsid w:val="4902244E"/>
    <w:rsid w:val="4903583D"/>
    <w:rsid w:val="491F5C19"/>
    <w:rsid w:val="49206FFB"/>
    <w:rsid w:val="49227202"/>
    <w:rsid w:val="49400E3C"/>
    <w:rsid w:val="494F64C8"/>
    <w:rsid w:val="49714E9E"/>
    <w:rsid w:val="497C4FA1"/>
    <w:rsid w:val="49847FF9"/>
    <w:rsid w:val="498F236F"/>
    <w:rsid w:val="49941865"/>
    <w:rsid w:val="49954EE3"/>
    <w:rsid w:val="499D135E"/>
    <w:rsid w:val="49A00C64"/>
    <w:rsid w:val="49AD2D75"/>
    <w:rsid w:val="49B06C24"/>
    <w:rsid w:val="49CF3658"/>
    <w:rsid w:val="49D35AD9"/>
    <w:rsid w:val="49D3781C"/>
    <w:rsid w:val="49E623D0"/>
    <w:rsid w:val="49E84474"/>
    <w:rsid w:val="49EC653A"/>
    <w:rsid w:val="49F826D1"/>
    <w:rsid w:val="49FE7EA6"/>
    <w:rsid w:val="4A015094"/>
    <w:rsid w:val="4A0F0210"/>
    <w:rsid w:val="4A23070C"/>
    <w:rsid w:val="4A361967"/>
    <w:rsid w:val="4A3A5823"/>
    <w:rsid w:val="4A7C69E3"/>
    <w:rsid w:val="4A7C7BB7"/>
    <w:rsid w:val="4A995FEE"/>
    <w:rsid w:val="4AAC02CC"/>
    <w:rsid w:val="4ABA4CFD"/>
    <w:rsid w:val="4ABB0310"/>
    <w:rsid w:val="4AC779BE"/>
    <w:rsid w:val="4AD20BA9"/>
    <w:rsid w:val="4AD3006F"/>
    <w:rsid w:val="4AD914BD"/>
    <w:rsid w:val="4AD9323C"/>
    <w:rsid w:val="4AE271AB"/>
    <w:rsid w:val="4AE3732B"/>
    <w:rsid w:val="4AE91453"/>
    <w:rsid w:val="4AFC0E6D"/>
    <w:rsid w:val="4B235C7B"/>
    <w:rsid w:val="4B2579EA"/>
    <w:rsid w:val="4B334AEF"/>
    <w:rsid w:val="4B3927E6"/>
    <w:rsid w:val="4B431439"/>
    <w:rsid w:val="4B4D0E46"/>
    <w:rsid w:val="4B722D38"/>
    <w:rsid w:val="4B78313B"/>
    <w:rsid w:val="4B7F716D"/>
    <w:rsid w:val="4B8B517E"/>
    <w:rsid w:val="4B981442"/>
    <w:rsid w:val="4B9D4E89"/>
    <w:rsid w:val="4BA45377"/>
    <w:rsid w:val="4BDF379F"/>
    <w:rsid w:val="4BEE4070"/>
    <w:rsid w:val="4BF0382E"/>
    <w:rsid w:val="4BF21C77"/>
    <w:rsid w:val="4BFB49C8"/>
    <w:rsid w:val="4C07591D"/>
    <w:rsid w:val="4C0A76C5"/>
    <w:rsid w:val="4C0C3A86"/>
    <w:rsid w:val="4C161F04"/>
    <w:rsid w:val="4C394C31"/>
    <w:rsid w:val="4C546B23"/>
    <w:rsid w:val="4C620772"/>
    <w:rsid w:val="4C6349FC"/>
    <w:rsid w:val="4C7466DB"/>
    <w:rsid w:val="4C7E436A"/>
    <w:rsid w:val="4C7E4BC2"/>
    <w:rsid w:val="4C8F3996"/>
    <w:rsid w:val="4C9B7D6E"/>
    <w:rsid w:val="4CDA76BB"/>
    <w:rsid w:val="4CEB2840"/>
    <w:rsid w:val="4CF02F19"/>
    <w:rsid w:val="4CFB40DB"/>
    <w:rsid w:val="4D0D0CC9"/>
    <w:rsid w:val="4D1B2411"/>
    <w:rsid w:val="4D494E02"/>
    <w:rsid w:val="4D4B05D2"/>
    <w:rsid w:val="4D4B6789"/>
    <w:rsid w:val="4D673998"/>
    <w:rsid w:val="4D711ED5"/>
    <w:rsid w:val="4D715568"/>
    <w:rsid w:val="4D894822"/>
    <w:rsid w:val="4D9A7E94"/>
    <w:rsid w:val="4DA91502"/>
    <w:rsid w:val="4DA97149"/>
    <w:rsid w:val="4DB821A7"/>
    <w:rsid w:val="4DE6224B"/>
    <w:rsid w:val="4DE73452"/>
    <w:rsid w:val="4DE75D08"/>
    <w:rsid w:val="4DF1070B"/>
    <w:rsid w:val="4DF11859"/>
    <w:rsid w:val="4DF17E9F"/>
    <w:rsid w:val="4DF57B76"/>
    <w:rsid w:val="4DFB4BB3"/>
    <w:rsid w:val="4E104C28"/>
    <w:rsid w:val="4E2E60B1"/>
    <w:rsid w:val="4E31057D"/>
    <w:rsid w:val="4E3D770C"/>
    <w:rsid w:val="4E467338"/>
    <w:rsid w:val="4E682A14"/>
    <w:rsid w:val="4E6B11BC"/>
    <w:rsid w:val="4E8D0FEE"/>
    <w:rsid w:val="4E9D4F32"/>
    <w:rsid w:val="4ED76782"/>
    <w:rsid w:val="4ED92141"/>
    <w:rsid w:val="4EE90074"/>
    <w:rsid w:val="4F04479B"/>
    <w:rsid w:val="4F1534FA"/>
    <w:rsid w:val="4F164E9E"/>
    <w:rsid w:val="4F291041"/>
    <w:rsid w:val="4F2E4BC7"/>
    <w:rsid w:val="4F3B240C"/>
    <w:rsid w:val="4F4035F5"/>
    <w:rsid w:val="4F4F4A9F"/>
    <w:rsid w:val="4F5311A6"/>
    <w:rsid w:val="4F546CB7"/>
    <w:rsid w:val="4F6249B8"/>
    <w:rsid w:val="4F687A29"/>
    <w:rsid w:val="4F763A63"/>
    <w:rsid w:val="4F946EBA"/>
    <w:rsid w:val="4FA05FCC"/>
    <w:rsid w:val="4FAE5B3D"/>
    <w:rsid w:val="4FB05CD2"/>
    <w:rsid w:val="4FB30A69"/>
    <w:rsid w:val="4FC4756E"/>
    <w:rsid w:val="4FD7347B"/>
    <w:rsid w:val="4FDD1C15"/>
    <w:rsid w:val="4FEA43D4"/>
    <w:rsid w:val="4FEE56B8"/>
    <w:rsid w:val="4FF359B6"/>
    <w:rsid w:val="500064B5"/>
    <w:rsid w:val="50017855"/>
    <w:rsid w:val="500F53C0"/>
    <w:rsid w:val="50193C7D"/>
    <w:rsid w:val="502A0DE3"/>
    <w:rsid w:val="502C50C7"/>
    <w:rsid w:val="50335496"/>
    <w:rsid w:val="50366330"/>
    <w:rsid w:val="503F5E45"/>
    <w:rsid w:val="504839F9"/>
    <w:rsid w:val="50595246"/>
    <w:rsid w:val="505C0287"/>
    <w:rsid w:val="50822DF3"/>
    <w:rsid w:val="508278E3"/>
    <w:rsid w:val="508A754A"/>
    <w:rsid w:val="50B130FE"/>
    <w:rsid w:val="50BD6CE6"/>
    <w:rsid w:val="50C2570B"/>
    <w:rsid w:val="50C653B8"/>
    <w:rsid w:val="50D24AAA"/>
    <w:rsid w:val="50D90BB3"/>
    <w:rsid w:val="50EA627B"/>
    <w:rsid w:val="50ED2EB2"/>
    <w:rsid w:val="50F720F4"/>
    <w:rsid w:val="50F9524E"/>
    <w:rsid w:val="51093542"/>
    <w:rsid w:val="51165182"/>
    <w:rsid w:val="512B436A"/>
    <w:rsid w:val="512F5F45"/>
    <w:rsid w:val="51366B08"/>
    <w:rsid w:val="513765B4"/>
    <w:rsid w:val="513E2FCB"/>
    <w:rsid w:val="515A6B83"/>
    <w:rsid w:val="515F72A8"/>
    <w:rsid w:val="51610396"/>
    <w:rsid w:val="517C1911"/>
    <w:rsid w:val="51850550"/>
    <w:rsid w:val="519A08D1"/>
    <w:rsid w:val="51A907E9"/>
    <w:rsid w:val="51C60809"/>
    <w:rsid w:val="51D26EBD"/>
    <w:rsid w:val="51D27F79"/>
    <w:rsid w:val="51D906D2"/>
    <w:rsid w:val="51E95E2E"/>
    <w:rsid w:val="51EB4304"/>
    <w:rsid w:val="51EB56F9"/>
    <w:rsid w:val="51EE0457"/>
    <w:rsid w:val="51F47709"/>
    <w:rsid w:val="51F92090"/>
    <w:rsid w:val="51F9611E"/>
    <w:rsid w:val="522D51B0"/>
    <w:rsid w:val="52354064"/>
    <w:rsid w:val="523A49EC"/>
    <w:rsid w:val="52455C17"/>
    <w:rsid w:val="525C3E63"/>
    <w:rsid w:val="525F56DE"/>
    <w:rsid w:val="526133D5"/>
    <w:rsid w:val="526B687E"/>
    <w:rsid w:val="526C0D7E"/>
    <w:rsid w:val="5270627D"/>
    <w:rsid w:val="52753764"/>
    <w:rsid w:val="527A3E91"/>
    <w:rsid w:val="52872CEE"/>
    <w:rsid w:val="52987B63"/>
    <w:rsid w:val="529C321D"/>
    <w:rsid w:val="529D7C39"/>
    <w:rsid w:val="529F506B"/>
    <w:rsid w:val="52A15A52"/>
    <w:rsid w:val="52AD1EA4"/>
    <w:rsid w:val="52B118D8"/>
    <w:rsid w:val="52CD1DF2"/>
    <w:rsid w:val="52E1564E"/>
    <w:rsid w:val="52ED0633"/>
    <w:rsid w:val="52F17A15"/>
    <w:rsid w:val="531F1E8E"/>
    <w:rsid w:val="53201BA2"/>
    <w:rsid w:val="532E56AF"/>
    <w:rsid w:val="5330233F"/>
    <w:rsid w:val="53332C9A"/>
    <w:rsid w:val="533F3ACD"/>
    <w:rsid w:val="534A2B68"/>
    <w:rsid w:val="535458A3"/>
    <w:rsid w:val="535E0ED8"/>
    <w:rsid w:val="53802D36"/>
    <w:rsid w:val="53893236"/>
    <w:rsid w:val="538B1499"/>
    <w:rsid w:val="538B4DC6"/>
    <w:rsid w:val="538D0EFF"/>
    <w:rsid w:val="5398389F"/>
    <w:rsid w:val="53A863F5"/>
    <w:rsid w:val="53B62A66"/>
    <w:rsid w:val="53C404E1"/>
    <w:rsid w:val="53D55E70"/>
    <w:rsid w:val="53E23799"/>
    <w:rsid w:val="53E42322"/>
    <w:rsid w:val="53EC7609"/>
    <w:rsid w:val="53F15808"/>
    <w:rsid w:val="53F27385"/>
    <w:rsid w:val="54066AFB"/>
    <w:rsid w:val="5410165F"/>
    <w:rsid w:val="54106E83"/>
    <w:rsid w:val="54210C9A"/>
    <w:rsid w:val="54262C70"/>
    <w:rsid w:val="54267F9B"/>
    <w:rsid w:val="542B3C65"/>
    <w:rsid w:val="544E0DDC"/>
    <w:rsid w:val="54580B21"/>
    <w:rsid w:val="54643AAE"/>
    <w:rsid w:val="549F44B5"/>
    <w:rsid w:val="54AB2005"/>
    <w:rsid w:val="54AC04A3"/>
    <w:rsid w:val="54BB699C"/>
    <w:rsid w:val="54C23F6A"/>
    <w:rsid w:val="54C67B93"/>
    <w:rsid w:val="54CC38FF"/>
    <w:rsid w:val="54CE44AF"/>
    <w:rsid w:val="54D742F9"/>
    <w:rsid w:val="54F80C0E"/>
    <w:rsid w:val="54FA055D"/>
    <w:rsid w:val="55114247"/>
    <w:rsid w:val="55203A36"/>
    <w:rsid w:val="552C6098"/>
    <w:rsid w:val="55312CE8"/>
    <w:rsid w:val="55317905"/>
    <w:rsid w:val="554527C1"/>
    <w:rsid w:val="554930AA"/>
    <w:rsid w:val="5555594C"/>
    <w:rsid w:val="55627470"/>
    <w:rsid w:val="556C60B3"/>
    <w:rsid w:val="558C0B67"/>
    <w:rsid w:val="559612BE"/>
    <w:rsid w:val="559977DB"/>
    <w:rsid w:val="559B346A"/>
    <w:rsid w:val="55A36D44"/>
    <w:rsid w:val="55A914E5"/>
    <w:rsid w:val="55BC3D98"/>
    <w:rsid w:val="55CE4153"/>
    <w:rsid w:val="55E1710C"/>
    <w:rsid w:val="55F0091D"/>
    <w:rsid w:val="55F50883"/>
    <w:rsid w:val="5608482D"/>
    <w:rsid w:val="560917D7"/>
    <w:rsid w:val="56093C42"/>
    <w:rsid w:val="560C77D2"/>
    <w:rsid w:val="56207805"/>
    <w:rsid w:val="5629080E"/>
    <w:rsid w:val="56584A2C"/>
    <w:rsid w:val="5660753E"/>
    <w:rsid w:val="5675381A"/>
    <w:rsid w:val="567D77AB"/>
    <w:rsid w:val="56832F4C"/>
    <w:rsid w:val="569E0DB4"/>
    <w:rsid w:val="569E3936"/>
    <w:rsid w:val="569F6FB3"/>
    <w:rsid w:val="56A46172"/>
    <w:rsid w:val="56B16283"/>
    <w:rsid w:val="56B453B5"/>
    <w:rsid w:val="56BF5FE8"/>
    <w:rsid w:val="56BF7A8B"/>
    <w:rsid w:val="56C66D02"/>
    <w:rsid w:val="56CD6F61"/>
    <w:rsid w:val="56DB695E"/>
    <w:rsid w:val="56E103BA"/>
    <w:rsid w:val="56EF35D3"/>
    <w:rsid w:val="571C07BF"/>
    <w:rsid w:val="571D70B3"/>
    <w:rsid w:val="572B6807"/>
    <w:rsid w:val="5734285F"/>
    <w:rsid w:val="57355B60"/>
    <w:rsid w:val="57733BFF"/>
    <w:rsid w:val="577922CB"/>
    <w:rsid w:val="577A0569"/>
    <w:rsid w:val="577B628E"/>
    <w:rsid w:val="57883A27"/>
    <w:rsid w:val="578F1242"/>
    <w:rsid w:val="57A40697"/>
    <w:rsid w:val="57AB0A97"/>
    <w:rsid w:val="57AD2F12"/>
    <w:rsid w:val="57B452B6"/>
    <w:rsid w:val="57D10AB6"/>
    <w:rsid w:val="57D23792"/>
    <w:rsid w:val="57D677F4"/>
    <w:rsid w:val="57E073FB"/>
    <w:rsid w:val="57E519DB"/>
    <w:rsid w:val="57E82E9B"/>
    <w:rsid w:val="57EE498D"/>
    <w:rsid w:val="58036564"/>
    <w:rsid w:val="580F7D8C"/>
    <w:rsid w:val="583C1A6A"/>
    <w:rsid w:val="583C5888"/>
    <w:rsid w:val="583D2F26"/>
    <w:rsid w:val="58426292"/>
    <w:rsid w:val="584940E3"/>
    <w:rsid w:val="585E341B"/>
    <w:rsid w:val="58625110"/>
    <w:rsid w:val="5863639E"/>
    <w:rsid w:val="58693B82"/>
    <w:rsid w:val="587F7649"/>
    <w:rsid w:val="588A43C7"/>
    <w:rsid w:val="58914199"/>
    <w:rsid w:val="589D0295"/>
    <w:rsid w:val="589E3B10"/>
    <w:rsid w:val="58B062BF"/>
    <w:rsid w:val="58B24A28"/>
    <w:rsid w:val="58C15235"/>
    <w:rsid w:val="58E52C5E"/>
    <w:rsid w:val="59013E6B"/>
    <w:rsid w:val="590C5A75"/>
    <w:rsid w:val="590F676C"/>
    <w:rsid w:val="59171E10"/>
    <w:rsid w:val="591A3FE7"/>
    <w:rsid w:val="59245894"/>
    <w:rsid w:val="59306BDE"/>
    <w:rsid w:val="5932754F"/>
    <w:rsid w:val="593446A8"/>
    <w:rsid w:val="5956738B"/>
    <w:rsid w:val="59603C40"/>
    <w:rsid w:val="596B549D"/>
    <w:rsid w:val="597C5EC1"/>
    <w:rsid w:val="59832B94"/>
    <w:rsid w:val="598363BF"/>
    <w:rsid w:val="59840C58"/>
    <w:rsid w:val="598C11F2"/>
    <w:rsid w:val="599E0097"/>
    <w:rsid w:val="59CB15DF"/>
    <w:rsid w:val="59D80BFE"/>
    <w:rsid w:val="59DE132F"/>
    <w:rsid w:val="59E310B9"/>
    <w:rsid w:val="5A12702B"/>
    <w:rsid w:val="5A1C55E3"/>
    <w:rsid w:val="5A3858FD"/>
    <w:rsid w:val="5A3D1F3F"/>
    <w:rsid w:val="5A4566FD"/>
    <w:rsid w:val="5A5654C0"/>
    <w:rsid w:val="5A5C2788"/>
    <w:rsid w:val="5A992983"/>
    <w:rsid w:val="5A9D22FE"/>
    <w:rsid w:val="5AA04E40"/>
    <w:rsid w:val="5AA77F7D"/>
    <w:rsid w:val="5AB832FD"/>
    <w:rsid w:val="5AC51B70"/>
    <w:rsid w:val="5AC56C19"/>
    <w:rsid w:val="5AD159D3"/>
    <w:rsid w:val="5AF35A6E"/>
    <w:rsid w:val="5AF73ED0"/>
    <w:rsid w:val="5B030179"/>
    <w:rsid w:val="5B036298"/>
    <w:rsid w:val="5B06796D"/>
    <w:rsid w:val="5B0F0E2B"/>
    <w:rsid w:val="5B0F2D80"/>
    <w:rsid w:val="5B4512C8"/>
    <w:rsid w:val="5B4A68B5"/>
    <w:rsid w:val="5B603F65"/>
    <w:rsid w:val="5B66156E"/>
    <w:rsid w:val="5B6B1F00"/>
    <w:rsid w:val="5B710804"/>
    <w:rsid w:val="5B774B71"/>
    <w:rsid w:val="5B866796"/>
    <w:rsid w:val="5B913D4A"/>
    <w:rsid w:val="5B9816E5"/>
    <w:rsid w:val="5BA70143"/>
    <w:rsid w:val="5BB36D43"/>
    <w:rsid w:val="5BCC5D8B"/>
    <w:rsid w:val="5BD25859"/>
    <w:rsid w:val="5BD83E0E"/>
    <w:rsid w:val="5BDC36D0"/>
    <w:rsid w:val="5BDD5FB0"/>
    <w:rsid w:val="5BDE028D"/>
    <w:rsid w:val="5BE6074A"/>
    <w:rsid w:val="5BF40A71"/>
    <w:rsid w:val="5BF93677"/>
    <w:rsid w:val="5BFD4003"/>
    <w:rsid w:val="5C056440"/>
    <w:rsid w:val="5C0817AF"/>
    <w:rsid w:val="5C3F18E4"/>
    <w:rsid w:val="5C430FB6"/>
    <w:rsid w:val="5C4F3614"/>
    <w:rsid w:val="5C6D1E21"/>
    <w:rsid w:val="5C6F31B4"/>
    <w:rsid w:val="5C875A32"/>
    <w:rsid w:val="5C964971"/>
    <w:rsid w:val="5CB02F23"/>
    <w:rsid w:val="5CBD1826"/>
    <w:rsid w:val="5CBF20DA"/>
    <w:rsid w:val="5CC11316"/>
    <w:rsid w:val="5CDA23D8"/>
    <w:rsid w:val="5CE1446B"/>
    <w:rsid w:val="5CEC07F8"/>
    <w:rsid w:val="5CF14FE5"/>
    <w:rsid w:val="5CF44EFB"/>
    <w:rsid w:val="5CF90AE6"/>
    <w:rsid w:val="5D053DBE"/>
    <w:rsid w:val="5D064951"/>
    <w:rsid w:val="5D073366"/>
    <w:rsid w:val="5D0A44F9"/>
    <w:rsid w:val="5D2445FC"/>
    <w:rsid w:val="5D357770"/>
    <w:rsid w:val="5D37243A"/>
    <w:rsid w:val="5D375134"/>
    <w:rsid w:val="5D533EC2"/>
    <w:rsid w:val="5D586471"/>
    <w:rsid w:val="5D795554"/>
    <w:rsid w:val="5D84417A"/>
    <w:rsid w:val="5DA43C29"/>
    <w:rsid w:val="5DAF4D65"/>
    <w:rsid w:val="5DBD57F4"/>
    <w:rsid w:val="5DC65EB1"/>
    <w:rsid w:val="5DCE7F22"/>
    <w:rsid w:val="5DD067F8"/>
    <w:rsid w:val="5DD61AC8"/>
    <w:rsid w:val="5DF53D0F"/>
    <w:rsid w:val="5E0A2530"/>
    <w:rsid w:val="5E2064F2"/>
    <w:rsid w:val="5E282C3B"/>
    <w:rsid w:val="5E4662E1"/>
    <w:rsid w:val="5E530884"/>
    <w:rsid w:val="5E5D6EE8"/>
    <w:rsid w:val="5E6864AF"/>
    <w:rsid w:val="5E6E2282"/>
    <w:rsid w:val="5E76634E"/>
    <w:rsid w:val="5E824AD5"/>
    <w:rsid w:val="5E846509"/>
    <w:rsid w:val="5E876DAD"/>
    <w:rsid w:val="5E8908E9"/>
    <w:rsid w:val="5E9072B1"/>
    <w:rsid w:val="5EA7537D"/>
    <w:rsid w:val="5EB728A2"/>
    <w:rsid w:val="5EB87348"/>
    <w:rsid w:val="5EBA1085"/>
    <w:rsid w:val="5EC0688F"/>
    <w:rsid w:val="5ECD3734"/>
    <w:rsid w:val="5ED23F66"/>
    <w:rsid w:val="5EDE1702"/>
    <w:rsid w:val="5EEE5CC7"/>
    <w:rsid w:val="5EEF6B64"/>
    <w:rsid w:val="5EFA4207"/>
    <w:rsid w:val="5F2A5CD8"/>
    <w:rsid w:val="5F372878"/>
    <w:rsid w:val="5F3B07B7"/>
    <w:rsid w:val="5F592D28"/>
    <w:rsid w:val="5F853FA7"/>
    <w:rsid w:val="5F857FE0"/>
    <w:rsid w:val="5F9D5B8F"/>
    <w:rsid w:val="5FAE2505"/>
    <w:rsid w:val="5FB0719A"/>
    <w:rsid w:val="5FC6402A"/>
    <w:rsid w:val="5FD32D7A"/>
    <w:rsid w:val="5FD50C35"/>
    <w:rsid w:val="5FD7205C"/>
    <w:rsid w:val="5FD92450"/>
    <w:rsid w:val="5FDA2A50"/>
    <w:rsid w:val="60492CF6"/>
    <w:rsid w:val="604A27B0"/>
    <w:rsid w:val="60547CD1"/>
    <w:rsid w:val="60556734"/>
    <w:rsid w:val="606F2E37"/>
    <w:rsid w:val="6081355C"/>
    <w:rsid w:val="608761DD"/>
    <w:rsid w:val="608A0E4D"/>
    <w:rsid w:val="6093187E"/>
    <w:rsid w:val="609C0ABA"/>
    <w:rsid w:val="60A61E4C"/>
    <w:rsid w:val="60AF5516"/>
    <w:rsid w:val="60D422E8"/>
    <w:rsid w:val="610752FD"/>
    <w:rsid w:val="611346AA"/>
    <w:rsid w:val="611D3A1D"/>
    <w:rsid w:val="611D7BCE"/>
    <w:rsid w:val="611E4CE6"/>
    <w:rsid w:val="6133455F"/>
    <w:rsid w:val="613F06B0"/>
    <w:rsid w:val="616A3C17"/>
    <w:rsid w:val="617E0FFB"/>
    <w:rsid w:val="61800A39"/>
    <w:rsid w:val="61855053"/>
    <w:rsid w:val="618D27A3"/>
    <w:rsid w:val="61961238"/>
    <w:rsid w:val="61967E27"/>
    <w:rsid w:val="619E5B64"/>
    <w:rsid w:val="61B574AF"/>
    <w:rsid w:val="61BB6128"/>
    <w:rsid w:val="61C40F61"/>
    <w:rsid w:val="623D4F0B"/>
    <w:rsid w:val="62400F8F"/>
    <w:rsid w:val="626D20BE"/>
    <w:rsid w:val="6271471F"/>
    <w:rsid w:val="629038C3"/>
    <w:rsid w:val="629A22ED"/>
    <w:rsid w:val="629C301D"/>
    <w:rsid w:val="62A26773"/>
    <w:rsid w:val="62A63DB0"/>
    <w:rsid w:val="62A85C93"/>
    <w:rsid w:val="62C23192"/>
    <w:rsid w:val="62C2518A"/>
    <w:rsid w:val="62C60AED"/>
    <w:rsid w:val="62CE240E"/>
    <w:rsid w:val="62D03DF6"/>
    <w:rsid w:val="62D81171"/>
    <w:rsid w:val="62DA1976"/>
    <w:rsid w:val="62DC05B0"/>
    <w:rsid w:val="63111018"/>
    <w:rsid w:val="63234CB3"/>
    <w:rsid w:val="632423AE"/>
    <w:rsid w:val="634429C4"/>
    <w:rsid w:val="63552C4B"/>
    <w:rsid w:val="63570B7A"/>
    <w:rsid w:val="635F59A1"/>
    <w:rsid w:val="63616A00"/>
    <w:rsid w:val="63720F4E"/>
    <w:rsid w:val="6377694C"/>
    <w:rsid w:val="638A5D75"/>
    <w:rsid w:val="63972C57"/>
    <w:rsid w:val="63A16B89"/>
    <w:rsid w:val="63A765B5"/>
    <w:rsid w:val="63B1518E"/>
    <w:rsid w:val="63B33D6C"/>
    <w:rsid w:val="63C33BC6"/>
    <w:rsid w:val="63D016F2"/>
    <w:rsid w:val="63E660C2"/>
    <w:rsid w:val="63EC3BE2"/>
    <w:rsid w:val="63F6448F"/>
    <w:rsid w:val="63FE18A5"/>
    <w:rsid w:val="641E0DFC"/>
    <w:rsid w:val="641E6093"/>
    <w:rsid w:val="64247542"/>
    <w:rsid w:val="6426202E"/>
    <w:rsid w:val="64287430"/>
    <w:rsid w:val="642E6C66"/>
    <w:rsid w:val="643210B1"/>
    <w:rsid w:val="64352A89"/>
    <w:rsid w:val="644E0ECD"/>
    <w:rsid w:val="645202AE"/>
    <w:rsid w:val="64571E3E"/>
    <w:rsid w:val="646A7ED6"/>
    <w:rsid w:val="647A1766"/>
    <w:rsid w:val="64804AFC"/>
    <w:rsid w:val="64845301"/>
    <w:rsid w:val="649010CE"/>
    <w:rsid w:val="649627BF"/>
    <w:rsid w:val="64966BE4"/>
    <w:rsid w:val="64AE0E22"/>
    <w:rsid w:val="64B05C44"/>
    <w:rsid w:val="64BD2C0E"/>
    <w:rsid w:val="64C841A1"/>
    <w:rsid w:val="64DC0D44"/>
    <w:rsid w:val="64E52B9D"/>
    <w:rsid w:val="64F803A5"/>
    <w:rsid w:val="64FB5716"/>
    <w:rsid w:val="64FE5585"/>
    <w:rsid w:val="6501563F"/>
    <w:rsid w:val="65041398"/>
    <w:rsid w:val="651A5E96"/>
    <w:rsid w:val="651B4716"/>
    <w:rsid w:val="651D70C3"/>
    <w:rsid w:val="65365EC7"/>
    <w:rsid w:val="653D7772"/>
    <w:rsid w:val="65612E81"/>
    <w:rsid w:val="65757ACD"/>
    <w:rsid w:val="65810483"/>
    <w:rsid w:val="65810E08"/>
    <w:rsid w:val="65AB5D76"/>
    <w:rsid w:val="65AF59DE"/>
    <w:rsid w:val="65B432D1"/>
    <w:rsid w:val="65EC4CF8"/>
    <w:rsid w:val="65FF44E4"/>
    <w:rsid w:val="6604618C"/>
    <w:rsid w:val="660D0067"/>
    <w:rsid w:val="66135452"/>
    <w:rsid w:val="661B41A1"/>
    <w:rsid w:val="66252687"/>
    <w:rsid w:val="66281395"/>
    <w:rsid w:val="662F7191"/>
    <w:rsid w:val="6649447C"/>
    <w:rsid w:val="664C6B61"/>
    <w:rsid w:val="665A32F1"/>
    <w:rsid w:val="665B457E"/>
    <w:rsid w:val="665B7A29"/>
    <w:rsid w:val="666D3D4D"/>
    <w:rsid w:val="66782EA9"/>
    <w:rsid w:val="667C1673"/>
    <w:rsid w:val="668454AA"/>
    <w:rsid w:val="66924B0E"/>
    <w:rsid w:val="66991BEB"/>
    <w:rsid w:val="66B81A60"/>
    <w:rsid w:val="66BB6C89"/>
    <w:rsid w:val="66BC4E73"/>
    <w:rsid w:val="66BF342B"/>
    <w:rsid w:val="66C5088F"/>
    <w:rsid w:val="66D63DBF"/>
    <w:rsid w:val="66E16111"/>
    <w:rsid w:val="66F01190"/>
    <w:rsid w:val="66F7693E"/>
    <w:rsid w:val="66F877F7"/>
    <w:rsid w:val="671118DC"/>
    <w:rsid w:val="671958AB"/>
    <w:rsid w:val="672F7ADC"/>
    <w:rsid w:val="67316B5F"/>
    <w:rsid w:val="67393032"/>
    <w:rsid w:val="673E6018"/>
    <w:rsid w:val="67424C13"/>
    <w:rsid w:val="67456D79"/>
    <w:rsid w:val="674F621A"/>
    <w:rsid w:val="675F5435"/>
    <w:rsid w:val="676D2F57"/>
    <w:rsid w:val="679F436C"/>
    <w:rsid w:val="67A66AB2"/>
    <w:rsid w:val="67AA5EE6"/>
    <w:rsid w:val="67D15A64"/>
    <w:rsid w:val="67F87C34"/>
    <w:rsid w:val="67FB417F"/>
    <w:rsid w:val="68207359"/>
    <w:rsid w:val="68254FBD"/>
    <w:rsid w:val="68273DBB"/>
    <w:rsid w:val="68420831"/>
    <w:rsid w:val="68504F7A"/>
    <w:rsid w:val="68956BB6"/>
    <w:rsid w:val="68A440A7"/>
    <w:rsid w:val="68B453BE"/>
    <w:rsid w:val="68B96E40"/>
    <w:rsid w:val="68BA0D5D"/>
    <w:rsid w:val="68C766A2"/>
    <w:rsid w:val="68D6301D"/>
    <w:rsid w:val="68E1297E"/>
    <w:rsid w:val="68E258A1"/>
    <w:rsid w:val="68E54AEC"/>
    <w:rsid w:val="68E71FA3"/>
    <w:rsid w:val="68EA3BD0"/>
    <w:rsid w:val="68F24564"/>
    <w:rsid w:val="69193A85"/>
    <w:rsid w:val="691D37DB"/>
    <w:rsid w:val="692D051D"/>
    <w:rsid w:val="693C729E"/>
    <w:rsid w:val="694354E3"/>
    <w:rsid w:val="69442A29"/>
    <w:rsid w:val="694F024D"/>
    <w:rsid w:val="696B76EF"/>
    <w:rsid w:val="696D1720"/>
    <w:rsid w:val="697535F8"/>
    <w:rsid w:val="697971EA"/>
    <w:rsid w:val="697C4234"/>
    <w:rsid w:val="697C602D"/>
    <w:rsid w:val="698638E9"/>
    <w:rsid w:val="698B1D7E"/>
    <w:rsid w:val="698E4CAE"/>
    <w:rsid w:val="69917285"/>
    <w:rsid w:val="69A73F58"/>
    <w:rsid w:val="69BE7F64"/>
    <w:rsid w:val="69C70E60"/>
    <w:rsid w:val="69CA3451"/>
    <w:rsid w:val="69CC30A8"/>
    <w:rsid w:val="69DA76C2"/>
    <w:rsid w:val="69FA55A3"/>
    <w:rsid w:val="6A2553BC"/>
    <w:rsid w:val="6A2C4B14"/>
    <w:rsid w:val="6A475399"/>
    <w:rsid w:val="6A4E61C5"/>
    <w:rsid w:val="6A5C5C4E"/>
    <w:rsid w:val="6A5E280F"/>
    <w:rsid w:val="6A6C2FF0"/>
    <w:rsid w:val="6A943201"/>
    <w:rsid w:val="6AA06B11"/>
    <w:rsid w:val="6AA8009F"/>
    <w:rsid w:val="6AA81420"/>
    <w:rsid w:val="6AAD54EF"/>
    <w:rsid w:val="6AAF462C"/>
    <w:rsid w:val="6AB26F1C"/>
    <w:rsid w:val="6AB53B3C"/>
    <w:rsid w:val="6AB85907"/>
    <w:rsid w:val="6ABF541C"/>
    <w:rsid w:val="6AC774C8"/>
    <w:rsid w:val="6AE07181"/>
    <w:rsid w:val="6AEB2C79"/>
    <w:rsid w:val="6AF43443"/>
    <w:rsid w:val="6AFF2FDD"/>
    <w:rsid w:val="6B0D7E6F"/>
    <w:rsid w:val="6B1D68D0"/>
    <w:rsid w:val="6B3A613B"/>
    <w:rsid w:val="6B4C4FC6"/>
    <w:rsid w:val="6B4D1295"/>
    <w:rsid w:val="6B534096"/>
    <w:rsid w:val="6B6830A9"/>
    <w:rsid w:val="6B6C45A9"/>
    <w:rsid w:val="6B7564CE"/>
    <w:rsid w:val="6B8C4649"/>
    <w:rsid w:val="6B9145AA"/>
    <w:rsid w:val="6B945E48"/>
    <w:rsid w:val="6B9822FA"/>
    <w:rsid w:val="6B9C6881"/>
    <w:rsid w:val="6BAE7BF8"/>
    <w:rsid w:val="6BB518A4"/>
    <w:rsid w:val="6BC002AC"/>
    <w:rsid w:val="6BE30698"/>
    <w:rsid w:val="6C150296"/>
    <w:rsid w:val="6C2D4858"/>
    <w:rsid w:val="6C311952"/>
    <w:rsid w:val="6C4B5870"/>
    <w:rsid w:val="6C4D5052"/>
    <w:rsid w:val="6C56580E"/>
    <w:rsid w:val="6C6248A0"/>
    <w:rsid w:val="6C6E6699"/>
    <w:rsid w:val="6C7C35CC"/>
    <w:rsid w:val="6C9D49FC"/>
    <w:rsid w:val="6CAE4CE7"/>
    <w:rsid w:val="6CB25261"/>
    <w:rsid w:val="6CC64C93"/>
    <w:rsid w:val="6CD64838"/>
    <w:rsid w:val="6CD977A4"/>
    <w:rsid w:val="6CF561E5"/>
    <w:rsid w:val="6D034FFC"/>
    <w:rsid w:val="6D143F96"/>
    <w:rsid w:val="6D234FDE"/>
    <w:rsid w:val="6D391CFF"/>
    <w:rsid w:val="6D595BF2"/>
    <w:rsid w:val="6D6D1F8E"/>
    <w:rsid w:val="6D9569C7"/>
    <w:rsid w:val="6D9D7F46"/>
    <w:rsid w:val="6DB427D1"/>
    <w:rsid w:val="6DB60632"/>
    <w:rsid w:val="6DC709D4"/>
    <w:rsid w:val="6DC866C2"/>
    <w:rsid w:val="6DE51499"/>
    <w:rsid w:val="6DFB77A3"/>
    <w:rsid w:val="6E0472B5"/>
    <w:rsid w:val="6E093EDF"/>
    <w:rsid w:val="6E0D6884"/>
    <w:rsid w:val="6E0E4A5C"/>
    <w:rsid w:val="6E0E4C23"/>
    <w:rsid w:val="6E1C5E6A"/>
    <w:rsid w:val="6E1D7857"/>
    <w:rsid w:val="6E272FA3"/>
    <w:rsid w:val="6E2E075B"/>
    <w:rsid w:val="6E3851B0"/>
    <w:rsid w:val="6E4B65F4"/>
    <w:rsid w:val="6E4F6795"/>
    <w:rsid w:val="6E5402E7"/>
    <w:rsid w:val="6E6404AB"/>
    <w:rsid w:val="6E7C6F7D"/>
    <w:rsid w:val="6E7E2108"/>
    <w:rsid w:val="6E9047F2"/>
    <w:rsid w:val="6EBD2B14"/>
    <w:rsid w:val="6EC35DD3"/>
    <w:rsid w:val="6EC55B84"/>
    <w:rsid w:val="6ED578F3"/>
    <w:rsid w:val="6EE11D64"/>
    <w:rsid w:val="6EE74B01"/>
    <w:rsid w:val="6EEE24F7"/>
    <w:rsid w:val="6EF710A4"/>
    <w:rsid w:val="6F1F3466"/>
    <w:rsid w:val="6F1F45C8"/>
    <w:rsid w:val="6F253E54"/>
    <w:rsid w:val="6F2C48D6"/>
    <w:rsid w:val="6F2D3D70"/>
    <w:rsid w:val="6F3348CB"/>
    <w:rsid w:val="6F397E15"/>
    <w:rsid w:val="6F4B2BD9"/>
    <w:rsid w:val="6F573414"/>
    <w:rsid w:val="6F5C24C7"/>
    <w:rsid w:val="6F6F5DBF"/>
    <w:rsid w:val="6F8C1A42"/>
    <w:rsid w:val="6F936B7D"/>
    <w:rsid w:val="6FAF25E3"/>
    <w:rsid w:val="6FBE7B04"/>
    <w:rsid w:val="6FD05EDE"/>
    <w:rsid w:val="6FDA4684"/>
    <w:rsid w:val="6FDA5A8E"/>
    <w:rsid w:val="6FDA5D1A"/>
    <w:rsid w:val="6FF1419E"/>
    <w:rsid w:val="701972AF"/>
    <w:rsid w:val="70231B8C"/>
    <w:rsid w:val="702754DC"/>
    <w:rsid w:val="702F0D23"/>
    <w:rsid w:val="703D40E5"/>
    <w:rsid w:val="703F49C7"/>
    <w:rsid w:val="70601E15"/>
    <w:rsid w:val="706432AF"/>
    <w:rsid w:val="706445F5"/>
    <w:rsid w:val="70673B2B"/>
    <w:rsid w:val="70684ECC"/>
    <w:rsid w:val="709D7B7C"/>
    <w:rsid w:val="70B85BC6"/>
    <w:rsid w:val="70DA7228"/>
    <w:rsid w:val="70E26C86"/>
    <w:rsid w:val="70F76C5D"/>
    <w:rsid w:val="70FE75E2"/>
    <w:rsid w:val="710F18EA"/>
    <w:rsid w:val="711E7032"/>
    <w:rsid w:val="713A2FED"/>
    <w:rsid w:val="71491244"/>
    <w:rsid w:val="71663D31"/>
    <w:rsid w:val="71694F15"/>
    <w:rsid w:val="716E1D9B"/>
    <w:rsid w:val="716E30D0"/>
    <w:rsid w:val="716F7C2D"/>
    <w:rsid w:val="717C76B7"/>
    <w:rsid w:val="71930AE4"/>
    <w:rsid w:val="719C5A56"/>
    <w:rsid w:val="71A54C8A"/>
    <w:rsid w:val="71B7052B"/>
    <w:rsid w:val="71BF6D00"/>
    <w:rsid w:val="71D15700"/>
    <w:rsid w:val="71D563A3"/>
    <w:rsid w:val="71F51B44"/>
    <w:rsid w:val="71F56C9F"/>
    <w:rsid w:val="71F57082"/>
    <w:rsid w:val="71F94FA0"/>
    <w:rsid w:val="723A60B1"/>
    <w:rsid w:val="723B495E"/>
    <w:rsid w:val="725315B2"/>
    <w:rsid w:val="725A3E0C"/>
    <w:rsid w:val="7260393C"/>
    <w:rsid w:val="72665943"/>
    <w:rsid w:val="72696F35"/>
    <w:rsid w:val="7281075B"/>
    <w:rsid w:val="72991DD3"/>
    <w:rsid w:val="72AA4F07"/>
    <w:rsid w:val="72C33CB7"/>
    <w:rsid w:val="72C62D6D"/>
    <w:rsid w:val="72F07E08"/>
    <w:rsid w:val="730228D8"/>
    <w:rsid w:val="73062F02"/>
    <w:rsid w:val="730A4B5F"/>
    <w:rsid w:val="731273F9"/>
    <w:rsid w:val="731F7A8C"/>
    <w:rsid w:val="732C3C24"/>
    <w:rsid w:val="732E228D"/>
    <w:rsid w:val="733D7A31"/>
    <w:rsid w:val="73483168"/>
    <w:rsid w:val="734E5A6A"/>
    <w:rsid w:val="735859AD"/>
    <w:rsid w:val="736600CA"/>
    <w:rsid w:val="736A08A7"/>
    <w:rsid w:val="73794386"/>
    <w:rsid w:val="738564EC"/>
    <w:rsid w:val="73867C5D"/>
    <w:rsid w:val="739E51A7"/>
    <w:rsid w:val="73A2091B"/>
    <w:rsid w:val="73A4225D"/>
    <w:rsid w:val="73B96394"/>
    <w:rsid w:val="73BA2AC5"/>
    <w:rsid w:val="73C208F1"/>
    <w:rsid w:val="73E01C00"/>
    <w:rsid w:val="73F81627"/>
    <w:rsid w:val="73FD7457"/>
    <w:rsid w:val="74114E9A"/>
    <w:rsid w:val="74135492"/>
    <w:rsid w:val="741A225F"/>
    <w:rsid w:val="7426061C"/>
    <w:rsid w:val="74326803"/>
    <w:rsid w:val="74486042"/>
    <w:rsid w:val="74507C42"/>
    <w:rsid w:val="745436E9"/>
    <w:rsid w:val="74566390"/>
    <w:rsid w:val="745B44B8"/>
    <w:rsid w:val="74850996"/>
    <w:rsid w:val="74906D85"/>
    <w:rsid w:val="749E3F36"/>
    <w:rsid w:val="74BA2E26"/>
    <w:rsid w:val="74CC0400"/>
    <w:rsid w:val="74E52570"/>
    <w:rsid w:val="74E60AE2"/>
    <w:rsid w:val="74FC46D8"/>
    <w:rsid w:val="752F0EDE"/>
    <w:rsid w:val="754E4169"/>
    <w:rsid w:val="75632D8F"/>
    <w:rsid w:val="756614E1"/>
    <w:rsid w:val="757751D0"/>
    <w:rsid w:val="7579607F"/>
    <w:rsid w:val="75823424"/>
    <w:rsid w:val="75AE0C60"/>
    <w:rsid w:val="75B77A23"/>
    <w:rsid w:val="75C4785E"/>
    <w:rsid w:val="75CC7117"/>
    <w:rsid w:val="75DA3DEA"/>
    <w:rsid w:val="75F357FE"/>
    <w:rsid w:val="75FE5504"/>
    <w:rsid w:val="760471D2"/>
    <w:rsid w:val="761D5689"/>
    <w:rsid w:val="761E1774"/>
    <w:rsid w:val="762179C6"/>
    <w:rsid w:val="76271066"/>
    <w:rsid w:val="762C1701"/>
    <w:rsid w:val="762D64E5"/>
    <w:rsid w:val="766B749F"/>
    <w:rsid w:val="7682408C"/>
    <w:rsid w:val="76850C40"/>
    <w:rsid w:val="76880FC1"/>
    <w:rsid w:val="76A12D08"/>
    <w:rsid w:val="76AA116B"/>
    <w:rsid w:val="76C11028"/>
    <w:rsid w:val="76CC6FD7"/>
    <w:rsid w:val="76D405D5"/>
    <w:rsid w:val="77070240"/>
    <w:rsid w:val="7711725F"/>
    <w:rsid w:val="7714743D"/>
    <w:rsid w:val="77176675"/>
    <w:rsid w:val="7721127E"/>
    <w:rsid w:val="77241046"/>
    <w:rsid w:val="772C094A"/>
    <w:rsid w:val="774913C0"/>
    <w:rsid w:val="775145AD"/>
    <w:rsid w:val="775D59F1"/>
    <w:rsid w:val="77605B4D"/>
    <w:rsid w:val="77636D28"/>
    <w:rsid w:val="776B2153"/>
    <w:rsid w:val="77781F19"/>
    <w:rsid w:val="7783749C"/>
    <w:rsid w:val="77894267"/>
    <w:rsid w:val="77AC081D"/>
    <w:rsid w:val="77BA5895"/>
    <w:rsid w:val="77C54C4B"/>
    <w:rsid w:val="77CA324C"/>
    <w:rsid w:val="77E61D5C"/>
    <w:rsid w:val="7808174F"/>
    <w:rsid w:val="781D170F"/>
    <w:rsid w:val="7826607A"/>
    <w:rsid w:val="785A2332"/>
    <w:rsid w:val="786E5E59"/>
    <w:rsid w:val="787E782C"/>
    <w:rsid w:val="78850D41"/>
    <w:rsid w:val="789B3CC7"/>
    <w:rsid w:val="78AA0B60"/>
    <w:rsid w:val="78AE6F28"/>
    <w:rsid w:val="78BD2932"/>
    <w:rsid w:val="78CC4CAF"/>
    <w:rsid w:val="78CD2F3D"/>
    <w:rsid w:val="78D82EDF"/>
    <w:rsid w:val="78E51A91"/>
    <w:rsid w:val="79142E84"/>
    <w:rsid w:val="791E4220"/>
    <w:rsid w:val="7936421F"/>
    <w:rsid w:val="794F3156"/>
    <w:rsid w:val="795820DB"/>
    <w:rsid w:val="796077FC"/>
    <w:rsid w:val="7971774B"/>
    <w:rsid w:val="797A764D"/>
    <w:rsid w:val="797E2FF3"/>
    <w:rsid w:val="79857F0F"/>
    <w:rsid w:val="798A3325"/>
    <w:rsid w:val="799E2AF3"/>
    <w:rsid w:val="79A01D48"/>
    <w:rsid w:val="79A73599"/>
    <w:rsid w:val="79A81DAB"/>
    <w:rsid w:val="79AF52A8"/>
    <w:rsid w:val="79B87EC9"/>
    <w:rsid w:val="79BB7613"/>
    <w:rsid w:val="79CF6100"/>
    <w:rsid w:val="79DD4AE3"/>
    <w:rsid w:val="79F01F5F"/>
    <w:rsid w:val="79F83E01"/>
    <w:rsid w:val="7A02338C"/>
    <w:rsid w:val="7A0614A5"/>
    <w:rsid w:val="7A06331B"/>
    <w:rsid w:val="7A2770E7"/>
    <w:rsid w:val="7A3B7CDF"/>
    <w:rsid w:val="7A47389F"/>
    <w:rsid w:val="7A5556E9"/>
    <w:rsid w:val="7A6062B9"/>
    <w:rsid w:val="7A670D85"/>
    <w:rsid w:val="7A69020F"/>
    <w:rsid w:val="7A7C4B17"/>
    <w:rsid w:val="7A8A3697"/>
    <w:rsid w:val="7A8C2A1A"/>
    <w:rsid w:val="7A8F5AA2"/>
    <w:rsid w:val="7A966F63"/>
    <w:rsid w:val="7A9E11ED"/>
    <w:rsid w:val="7A9E386D"/>
    <w:rsid w:val="7AAD7AD2"/>
    <w:rsid w:val="7ABB5561"/>
    <w:rsid w:val="7ABE14BC"/>
    <w:rsid w:val="7AC7325E"/>
    <w:rsid w:val="7ACA1C5D"/>
    <w:rsid w:val="7ACC46F2"/>
    <w:rsid w:val="7AD922C8"/>
    <w:rsid w:val="7AE13E3E"/>
    <w:rsid w:val="7AF95CC7"/>
    <w:rsid w:val="7B052B07"/>
    <w:rsid w:val="7B0C31A7"/>
    <w:rsid w:val="7B197BA7"/>
    <w:rsid w:val="7B1D7ABB"/>
    <w:rsid w:val="7B255BE6"/>
    <w:rsid w:val="7B36283A"/>
    <w:rsid w:val="7B65373C"/>
    <w:rsid w:val="7B755078"/>
    <w:rsid w:val="7B90012C"/>
    <w:rsid w:val="7B95754E"/>
    <w:rsid w:val="7B9F0F0D"/>
    <w:rsid w:val="7BA6029E"/>
    <w:rsid w:val="7BA61DD1"/>
    <w:rsid w:val="7BB134B3"/>
    <w:rsid w:val="7BCC40C1"/>
    <w:rsid w:val="7BD01654"/>
    <w:rsid w:val="7BE0491C"/>
    <w:rsid w:val="7BE13957"/>
    <w:rsid w:val="7BE342FF"/>
    <w:rsid w:val="7BED27A7"/>
    <w:rsid w:val="7BF2443F"/>
    <w:rsid w:val="7BFA2AE9"/>
    <w:rsid w:val="7BFE17E7"/>
    <w:rsid w:val="7C02740F"/>
    <w:rsid w:val="7C096824"/>
    <w:rsid w:val="7C121512"/>
    <w:rsid w:val="7C3503CB"/>
    <w:rsid w:val="7C535645"/>
    <w:rsid w:val="7C70133A"/>
    <w:rsid w:val="7C73595D"/>
    <w:rsid w:val="7C747607"/>
    <w:rsid w:val="7C820918"/>
    <w:rsid w:val="7C8C71DD"/>
    <w:rsid w:val="7C8E42E7"/>
    <w:rsid w:val="7C99137B"/>
    <w:rsid w:val="7CA82FE4"/>
    <w:rsid w:val="7CB10CD1"/>
    <w:rsid w:val="7CBF6FF3"/>
    <w:rsid w:val="7CC512BC"/>
    <w:rsid w:val="7CCE726B"/>
    <w:rsid w:val="7CDF7886"/>
    <w:rsid w:val="7CEA1A24"/>
    <w:rsid w:val="7CF27B97"/>
    <w:rsid w:val="7CF37CB4"/>
    <w:rsid w:val="7D044D33"/>
    <w:rsid w:val="7D0B0B95"/>
    <w:rsid w:val="7D280173"/>
    <w:rsid w:val="7D366D5F"/>
    <w:rsid w:val="7D3E72DB"/>
    <w:rsid w:val="7D4578F4"/>
    <w:rsid w:val="7D470A50"/>
    <w:rsid w:val="7D5A4C63"/>
    <w:rsid w:val="7D624588"/>
    <w:rsid w:val="7D7653AD"/>
    <w:rsid w:val="7D7A7CF7"/>
    <w:rsid w:val="7D8772CC"/>
    <w:rsid w:val="7DA87926"/>
    <w:rsid w:val="7DB35BED"/>
    <w:rsid w:val="7DBC41A3"/>
    <w:rsid w:val="7DD1204A"/>
    <w:rsid w:val="7DDC3C3B"/>
    <w:rsid w:val="7DF06FB9"/>
    <w:rsid w:val="7DF502AF"/>
    <w:rsid w:val="7E1D07F5"/>
    <w:rsid w:val="7E404274"/>
    <w:rsid w:val="7E436F59"/>
    <w:rsid w:val="7E4B6B7F"/>
    <w:rsid w:val="7E6511E4"/>
    <w:rsid w:val="7E67716D"/>
    <w:rsid w:val="7E734294"/>
    <w:rsid w:val="7E9046B5"/>
    <w:rsid w:val="7E92782D"/>
    <w:rsid w:val="7E9C43F3"/>
    <w:rsid w:val="7EBA7130"/>
    <w:rsid w:val="7EBE7ABE"/>
    <w:rsid w:val="7ECF4D19"/>
    <w:rsid w:val="7ED223F6"/>
    <w:rsid w:val="7EE02280"/>
    <w:rsid w:val="7EF71DFA"/>
    <w:rsid w:val="7EFD5F0F"/>
    <w:rsid w:val="7F0B6493"/>
    <w:rsid w:val="7F177D15"/>
    <w:rsid w:val="7F190115"/>
    <w:rsid w:val="7F1B75D8"/>
    <w:rsid w:val="7F1E7C26"/>
    <w:rsid w:val="7F2828CF"/>
    <w:rsid w:val="7F2C3658"/>
    <w:rsid w:val="7F3E1FF5"/>
    <w:rsid w:val="7F55419A"/>
    <w:rsid w:val="7F6B4C36"/>
    <w:rsid w:val="7F7B22E5"/>
    <w:rsid w:val="7F867897"/>
    <w:rsid w:val="7F8A1879"/>
    <w:rsid w:val="7F927926"/>
    <w:rsid w:val="7FA3504F"/>
    <w:rsid w:val="7FA53253"/>
    <w:rsid w:val="7FBE7840"/>
    <w:rsid w:val="7FC56CAC"/>
    <w:rsid w:val="7FC81D8E"/>
    <w:rsid w:val="7FD816D2"/>
    <w:rsid w:val="7FE30F6D"/>
    <w:rsid w:val="7FEF66D3"/>
    <w:rsid w:val="7FF2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正文文本首行缩进 21"/>
    <w:basedOn w:val="1"/>
    <w:qFormat/>
    <w:uiPriority w:val="0"/>
    <w:pPr>
      <w:spacing w:line="360" w:lineRule="auto"/>
      <w:ind w:firstLine="420" w:firstLineChars="200"/>
      <w:textAlignment w:val="baseline"/>
    </w:pPr>
    <w:rPr>
      <w:sz w:val="24"/>
      <w:szCs w:val="24"/>
    </w:rPr>
  </w:style>
  <w:style w:type="character" w:customStyle="1" w:styleId="11">
    <w:name w:val="标题 3 字符"/>
    <w:basedOn w:val="8"/>
    <w:link w:val="2"/>
    <w:qFormat/>
    <w:uiPriority w:val="0"/>
    <w:rPr>
      <w:rFonts w:hint="default" w:ascii="Calibri" w:hAnsi="Calibri" w:eastAsia="宋体" w:cs="Times New Roman"/>
      <w:b/>
      <w:bCs/>
      <w:kern w:val="2"/>
      <w:sz w:val="32"/>
      <w:szCs w:val="32"/>
    </w:rPr>
  </w:style>
  <w:style w:type="character" w:customStyle="1" w:styleId="12">
    <w:name w:val="批注框文本 字符"/>
    <w:link w:val="3"/>
    <w:qFormat/>
    <w:uiPriority w:val="0"/>
    <w:rPr>
      <w:kern w:val="2"/>
      <w:sz w:val="18"/>
    </w:rPr>
  </w:style>
  <w:style w:type="character" w:customStyle="1" w:styleId="13">
    <w:name w:val="页脚 字符"/>
    <w:basedOn w:val="8"/>
    <w:qFormat/>
    <w:uiPriority w:val="0"/>
    <w:rPr>
      <w:kern w:val="2"/>
      <w:sz w:val="18"/>
      <w:szCs w:val="18"/>
    </w:rPr>
  </w:style>
  <w:style w:type="character" w:customStyle="1" w:styleId="14">
    <w:name w:val="页脚 字符1"/>
    <w:link w:val="4"/>
    <w:qFormat/>
    <w:uiPriority w:val="99"/>
    <w:rPr>
      <w:kern w:val="2"/>
      <w:sz w:val="18"/>
    </w:rPr>
  </w:style>
  <w:style w:type="paragraph" w:customStyle="1" w:styleId="15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</w:rPr>
  </w:style>
  <w:style w:type="paragraph" w:customStyle="1" w:styleId="16">
    <w:name w:val="p0"/>
    <w:basedOn w:val="1"/>
    <w:qFormat/>
    <w:uiPriority w:val="0"/>
    <w:pPr>
      <w:widowControl/>
    </w:pPr>
    <w:rPr>
      <w:rFonts w:hint="eastAsia"/>
    </w:rPr>
  </w:style>
  <w:style w:type="paragraph" w:customStyle="1" w:styleId="17">
    <w:name w:val="p16"/>
    <w:basedOn w:val="1"/>
    <w:qFormat/>
    <w:uiPriority w:val="0"/>
    <w:pPr>
      <w:widowControl/>
    </w:pPr>
    <w:rPr>
      <w:rFonts w:ascii="宋体" w:hAnsi="宋体"/>
      <w:kern w:val="0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2744</Words>
  <Characters>3548</Characters>
  <Lines>30</Lines>
  <Paragraphs>8</Paragraphs>
  <TotalTime>0</TotalTime>
  <ScaleCrop>false</ScaleCrop>
  <LinksUpToDate>false</LinksUpToDate>
  <CharactersWithSpaces>3555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2018-05-07T02:37:00Z</dcterms:created>
  <dc:creator>tjj01</dc:creator>
  <cp:lastModifiedBy>xv</cp:lastModifiedBy>
  <cp:lastPrinted>2025-10-30T07:21:00Z</cp:lastPrinted>
  <dcterms:modified xsi:type="dcterms:W3CDTF">2025-10-30T09:17:18Z</dcterms:modified>
  <dc:title>平远县2016年1～12月经济运行简况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08705F009BB94297BC201E9823750CCD_13</vt:lpwstr>
  </property>
  <property fmtid="{D5CDD505-2E9C-101B-9397-08002B2CF9AE}" pid="4" name="KSOTemplateDocerSaveRecord">
    <vt:lpwstr>eyJoZGlkIjoiNDgxNTQ4MTJhYzVhMTUzM2EwYjI4ZmQ0ZGFmZDM4YmQiLCJ1c2VySWQiOiI2MDk2MjEzNzEifQ==</vt:lpwstr>
  </property>
</Properties>
</file>