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600" w:lineRule="exact"/>
        <w:ind w:firstLine="0" w:firstLineChars="0"/>
        <w:jc w:val="right"/>
        <w:rPr>
          <w:rFonts w:hint="default" w:ascii="Times New Roman" w:hAnsi="Times New Roman" w:eastAsia="方正仿宋简体" w:cs="Times New Roman"/>
          <w:kern w:val="0"/>
          <w:sz w:val="32"/>
          <w:szCs w:val="32"/>
          <w:lang w:val="en-US" w:eastAsia="zh-CN"/>
        </w:rPr>
      </w:pPr>
    </w:p>
    <w:p>
      <w:pPr>
        <w:overflowPunct w:val="0"/>
        <w:spacing w:line="600" w:lineRule="exact"/>
        <w:ind w:firstLine="0" w:firstLineChars="0"/>
        <w:rPr>
          <w:rFonts w:ascii="方正仿宋简体" w:hAnsi="Calibri" w:eastAsia="方正仿宋简体" w:cs="Times New Roman"/>
          <w:kern w:val="0"/>
          <w:sz w:val="21"/>
          <w:szCs w:val="22"/>
        </w:rPr>
      </w:pPr>
    </w:p>
    <w:p>
      <w:pPr>
        <w:overflowPunct w:val="0"/>
        <w:spacing w:line="600" w:lineRule="exact"/>
        <w:ind w:firstLine="0" w:firstLineChars="0"/>
        <w:rPr>
          <w:rFonts w:ascii="方正仿宋简体" w:hAnsi="Calibri" w:eastAsia="方正仿宋简体" w:cs="Times New Roman"/>
          <w:kern w:val="0"/>
          <w:sz w:val="21"/>
          <w:szCs w:val="22"/>
        </w:rPr>
      </w:pPr>
    </w:p>
    <w:p>
      <w:pPr>
        <w:overflowPunct w:val="0"/>
        <w:spacing w:line="600" w:lineRule="exact"/>
        <w:ind w:firstLine="0" w:firstLineChars="0"/>
        <w:rPr>
          <w:rFonts w:ascii="方正仿宋简体" w:hAnsi="Calibri" w:eastAsia="方正仿宋简体" w:cs="Times New Roman"/>
          <w:kern w:val="0"/>
          <w:sz w:val="21"/>
          <w:szCs w:val="22"/>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宋体" w:hAnsi="Calibri" w:eastAsia="宋体" w:cs="Times New Roman"/>
          <w:kern w:val="2"/>
          <w:sz w:val="18"/>
          <w:szCs w:val="18"/>
          <w:lang w:val="en-US" w:eastAsia="zh-CN" w:bidi="ar-SA"/>
        </w:rPr>
      </w:pPr>
    </w:p>
    <w:p>
      <w:pPr>
        <w:overflowPunct w:val="0"/>
        <w:spacing w:line="600" w:lineRule="exact"/>
        <w:ind w:firstLine="0" w:firstLineChars="0"/>
        <w:jc w:val="center"/>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平府办发〔202</w:t>
      </w:r>
      <w:r>
        <w:rPr>
          <w:rFonts w:hint="eastAsia" w:ascii="Times New Roman" w:hAnsi="Times New Roman" w:eastAsia="方正仿宋简体" w:cs="Times New Roman"/>
          <w:sz w:val="32"/>
          <w:szCs w:val="32"/>
          <w:lang w:val="en-US" w:eastAsia="zh-CN"/>
        </w:rPr>
        <w:t>3</w:t>
      </w:r>
      <w:r>
        <w:rPr>
          <w:rFonts w:hint="eastAsia" w:ascii="Times New Roman" w:hAnsi="Times New Roman" w:eastAsia="方正仿宋简体" w:cs="Times New Roman"/>
          <w:sz w:val="32"/>
          <w:szCs w:val="32"/>
        </w:rPr>
        <w:t>〕</w:t>
      </w:r>
      <w:r>
        <w:rPr>
          <w:rFonts w:hint="eastAsia" w:ascii="Times New Roman" w:hAnsi="Times New Roman" w:eastAsia="方正仿宋简体" w:cs="Times New Roman"/>
          <w:sz w:val="32"/>
          <w:szCs w:val="32"/>
          <w:lang w:val="en-US" w:eastAsia="zh-CN"/>
        </w:rPr>
        <w:t>1</w:t>
      </w:r>
      <w:r>
        <w:rPr>
          <w:rFonts w:hint="eastAsia" w:ascii="Times New Roman" w:hAnsi="Times New Roman" w:eastAsia="方正仿宋简体" w:cs="Times New Roman"/>
          <w:sz w:val="32"/>
          <w:szCs w:val="32"/>
        </w:rPr>
        <w:t>号</w:t>
      </w:r>
    </w:p>
    <w:p>
      <w:pPr>
        <w:overflowPunct w:val="0"/>
        <w:spacing w:line="600" w:lineRule="exact"/>
        <w:ind w:firstLine="0" w:firstLineChars="0"/>
        <w:rPr>
          <w:rFonts w:ascii="Calibri" w:hAnsi="Calibri" w:eastAsia="方正小标宋简体" w:cs="Times New Roman"/>
          <w:kern w:val="0"/>
          <w:sz w:val="44"/>
          <w:szCs w:val="44"/>
        </w:rPr>
      </w:pPr>
    </w:p>
    <w:p>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hint="default"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lang w:eastAsia="zh-CN"/>
        </w:rPr>
        <w:t>平远县人民政府办公室关于印发</w:t>
      </w:r>
      <w:r>
        <w:rPr>
          <w:rFonts w:hint="default" w:ascii="方正小标宋简体" w:hAnsi="方正小标宋简体" w:eastAsia="方正小标宋简体" w:cs="方正小标宋简体"/>
          <w:b w:val="0"/>
          <w:bCs/>
          <w:sz w:val="44"/>
          <w:szCs w:val="44"/>
          <w:lang w:eastAsia="zh-CN"/>
        </w:rPr>
        <w:t>平远县综合</w:t>
      </w:r>
    </w:p>
    <w:p>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hint="eastAsia" w:ascii="方正小标宋简体" w:hAnsi="方正小标宋简体" w:eastAsia="方正小标宋简体" w:cs="方正小标宋简体"/>
          <w:b w:val="0"/>
          <w:bCs/>
          <w:sz w:val="44"/>
          <w:szCs w:val="44"/>
          <w:lang w:eastAsia="zh-CN"/>
        </w:rPr>
      </w:pPr>
      <w:r>
        <w:rPr>
          <w:rFonts w:hint="default" w:ascii="方正小标宋简体" w:hAnsi="方正小标宋简体" w:eastAsia="方正小标宋简体" w:cs="方正小标宋简体"/>
          <w:b w:val="0"/>
          <w:bCs/>
          <w:sz w:val="44"/>
          <w:szCs w:val="44"/>
          <w:lang w:eastAsia="zh-CN"/>
        </w:rPr>
        <w:t>交通运输体系“十四五”规划</w:t>
      </w:r>
      <w:r>
        <w:rPr>
          <w:rFonts w:hint="eastAsia" w:ascii="方正小标宋简体" w:hAnsi="方正小标宋简体" w:eastAsia="方正小标宋简体" w:cs="方正小标宋简体"/>
          <w:b w:val="0"/>
          <w:bCs/>
          <w:sz w:val="44"/>
          <w:szCs w:val="44"/>
          <w:lang w:eastAsia="zh-CN"/>
        </w:rPr>
        <w:t>的通知</w:t>
      </w:r>
    </w:p>
    <w:p>
      <w:pPr>
        <w:autoSpaceDE w:val="0"/>
        <w:spacing w:line="560" w:lineRule="exact"/>
        <w:ind w:firstLine="0" w:firstLineChars="0"/>
        <w:jc w:val="center"/>
        <w:rPr>
          <w:rFonts w:hint="eastAsia" w:ascii="Times New Roman" w:hAnsi="Times New Roman" w:eastAsia="方正仿宋简体" w:cs="Times New Roman"/>
          <w:sz w:val="32"/>
          <w:szCs w:val="32"/>
          <w:lang w:val="en-US" w:eastAsia="zh-CN"/>
        </w:rPr>
      </w:pPr>
    </w:p>
    <w:p>
      <w:pPr>
        <w:autoSpaceDE w:val="0"/>
        <w:spacing w:line="560" w:lineRule="exact"/>
        <w:ind w:firstLine="0" w:firstLineChars="0"/>
        <w:jc w:val="center"/>
        <w:rPr>
          <w:rFonts w:hint="eastAsia" w:ascii="Times New Roman" w:hAnsi="Times New Roman" w:eastAsia="方正仿宋简体" w:cs="Times New Roman"/>
          <w:sz w:val="32"/>
          <w:szCs w:val="32"/>
          <w:lang w:val="en-US" w:eastAsia="zh-CN"/>
        </w:rPr>
      </w:pPr>
    </w:p>
    <w:p>
      <w:pPr>
        <w:autoSpaceDE w:val="0"/>
        <w:spacing w:line="560" w:lineRule="exact"/>
        <w:ind w:firstLine="0" w:firstLineChars="0"/>
        <w:jc w:val="left"/>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各镇人民政府</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县府直属和省、市属驻平</w:t>
      </w:r>
      <w:r>
        <w:rPr>
          <w:rFonts w:hint="eastAsia" w:ascii="Times New Roman" w:hAnsi="Times New Roman" w:eastAsia="方正仿宋简体" w:cs="Times New Roman"/>
          <w:sz w:val="32"/>
          <w:szCs w:val="32"/>
          <w:lang w:val="en-US" w:eastAsia="zh-CN"/>
        </w:rPr>
        <w:t>各</w:t>
      </w:r>
      <w:r>
        <w:rPr>
          <w:rFonts w:hint="default" w:ascii="Times New Roman" w:hAnsi="Times New Roman" w:eastAsia="方正仿宋简体" w:cs="Times New Roman"/>
          <w:sz w:val="32"/>
          <w:szCs w:val="32"/>
          <w:lang w:val="en-US" w:eastAsia="zh-CN"/>
        </w:rPr>
        <w:t>单位：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default" w:ascii="Nimbus Roman No9 L" w:hAnsi="Nimbus Roman No9 L" w:eastAsia="方正仿宋简体" w:cs="Nimbus Roman No9 L"/>
          <w:sz w:val="32"/>
          <w:szCs w:val="32"/>
          <w:lang w:val="en-US" w:eastAsia="zh-CN"/>
        </w:rPr>
      </w:pPr>
      <w:r>
        <w:rPr>
          <w:rFonts w:hint="default" w:ascii="Nimbus Roman No9 L" w:hAnsi="Nimbus Roman No9 L" w:eastAsia="方正仿宋简体" w:cs="Nimbus Roman No9 L"/>
          <w:sz w:val="32"/>
          <w:szCs w:val="32"/>
          <w:lang w:val="en-US" w:eastAsia="zh-CN"/>
        </w:rPr>
        <w:t>《平远县综合交通运输体系</w:t>
      </w:r>
      <w:r>
        <w:rPr>
          <w:rFonts w:hint="eastAsia" w:ascii="Nimbus Roman No9 L" w:hAnsi="Nimbus Roman No9 L" w:eastAsia="方正仿宋简体" w:cs="Nimbus Roman No9 L"/>
          <w:sz w:val="32"/>
          <w:szCs w:val="32"/>
          <w:lang w:val="en-US" w:eastAsia="zh-CN"/>
        </w:rPr>
        <w:t>“</w:t>
      </w:r>
      <w:r>
        <w:rPr>
          <w:rFonts w:hint="default" w:ascii="Nimbus Roman No9 L" w:hAnsi="Nimbus Roman No9 L" w:eastAsia="方正仿宋简体" w:cs="Nimbus Roman No9 L"/>
          <w:sz w:val="32"/>
          <w:szCs w:val="32"/>
          <w:lang w:val="en-US" w:eastAsia="zh-CN"/>
        </w:rPr>
        <w:t>十四五</w:t>
      </w:r>
      <w:r>
        <w:rPr>
          <w:rFonts w:hint="eastAsia" w:ascii="Nimbus Roman No9 L" w:hAnsi="Nimbus Roman No9 L" w:eastAsia="方正仿宋简体" w:cs="Nimbus Roman No9 L"/>
          <w:sz w:val="32"/>
          <w:szCs w:val="32"/>
          <w:lang w:val="en-US" w:eastAsia="zh-CN"/>
        </w:rPr>
        <w:t>”</w:t>
      </w:r>
      <w:r>
        <w:rPr>
          <w:rFonts w:hint="default" w:ascii="Nimbus Roman No9 L" w:hAnsi="Nimbus Roman No9 L" w:eastAsia="方正仿宋简体" w:cs="Nimbus Roman No9 L"/>
          <w:sz w:val="32"/>
          <w:szCs w:val="32"/>
          <w:lang w:val="en-US" w:eastAsia="zh-CN"/>
        </w:rPr>
        <w:t>规划》</w:t>
      </w:r>
      <w:r>
        <w:rPr>
          <w:rFonts w:hint="eastAsia" w:ascii="Nimbus Roman No9 L" w:hAnsi="Nimbus Roman No9 L" w:eastAsia="方正仿宋简体" w:cs="Nimbus Roman No9 L"/>
          <w:sz w:val="32"/>
          <w:szCs w:val="32"/>
          <w:lang w:val="en-US" w:eastAsia="zh-CN"/>
        </w:rPr>
        <w:t>已</w:t>
      </w:r>
      <w:r>
        <w:rPr>
          <w:rFonts w:hint="default" w:ascii="Nimbus Roman No9 L" w:hAnsi="Nimbus Roman No9 L" w:eastAsia="方正仿宋简体" w:cs="Nimbus Roman No9 L"/>
          <w:sz w:val="32"/>
          <w:szCs w:val="32"/>
          <w:lang w:val="en-US" w:eastAsia="zh-CN"/>
        </w:rPr>
        <w:t>经县人民政府同意</w:t>
      </w:r>
      <w:r>
        <w:rPr>
          <w:rFonts w:hint="eastAsia" w:ascii="Nimbus Roman No9 L" w:hAnsi="Nimbus Roman No9 L" w:eastAsia="方正仿宋简体" w:cs="Nimbus Roman No9 L"/>
          <w:sz w:val="32"/>
          <w:szCs w:val="32"/>
          <w:lang w:val="en-US" w:eastAsia="zh-CN"/>
        </w:rPr>
        <w:t>，现</w:t>
      </w:r>
      <w:r>
        <w:rPr>
          <w:rFonts w:hint="default" w:ascii="Nimbus Roman No9 L" w:hAnsi="Nimbus Roman No9 L" w:eastAsia="方正仿宋简体" w:cs="Nimbus Roman No9 L"/>
          <w:sz w:val="32"/>
          <w:szCs w:val="32"/>
          <w:lang w:val="en-US" w:eastAsia="zh-CN"/>
        </w:rPr>
        <w:t>印发给你们，请认真</w:t>
      </w:r>
      <w:r>
        <w:rPr>
          <w:rFonts w:hint="eastAsia" w:ascii="Nimbus Roman No9 L" w:hAnsi="Nimbus Roman No9 L" w:eastAsia="方正仿宋简体" w:cs="Nimbus Roman No9 L"/>
          <w:sz w:val="32"/>
          <w:szCs w:val="32"/>
          <w:lang w:val="en-US" w:eastAsia="zh-CN"/>
        </w:rPr>
        <w:t>贯彻执行</w:t>
      </w:r>
      <w:r>
        <w:rPr>
          <w:rFonts w:hint="default" w:ascii="Nimbus Roman No9 L" w:hAnsi="Nimbus Roman No9 L" w:eastAsia="方正仿宋简体" w:cs="Nimbus Roman No9 L"/>
          <w:sz w:val="32"/>
          <w:szCs w:val="32"/>
          <w:lang w:val="en-US" w:eastAsia="zh-CN"/>
        </w:rPr>
        <w:t>。执行中遇到的问题，请径向</w:t>
      </w:r>
      <w:r>
        <w:rPr>
          <w:rFonts w:hint="eastAsia" w:ascii="Nimbus Roman No9 L" w:hAnsi="Nimbus Roman No9 L" w:eastAsia="方正仿宋简体" w:cs="Nimbus Roman No9 L"/>
          <w:sz w:val="32"/>
          <w:szCs w:val="32"/>
          <w:lang w:val="en-US" w:eastAsia="zh-CN"/>
        </w:rPr>
        <w:t>县交通运输局</w:t>
      </w:r>
      <w:r>
        <w:rPr>
          <w:rFonts w:hint="default" w:ascii="Nimbus Roman No9 L" w:hAnsi="Nimbus Roman No9 L" w:eastAsia="方正仿宋简体" w:cs="Nimbus Roman No9 L"/>
          <w:sz w:val="32"/>
          <w:szCs w:val="32"/>
          <w:lang w:val="en-US" w:eastAsia="zh-CN"/>
        </w:rPr>
        <w:t>反映。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left"/>
        <w:textAlignment w:val="baseline"/>
        <w:rPr>
          <w:rFonts w:hint="default" w:ascii="Nimbus Roman No9 L" w:hAnsi="Nimbus Roman No9 L" w:eastAsia="方正仿宋简体" w:cs="Nimbus Roman No9 L"/>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left"/>
        <w:textAlignment w:val="baseline"/>
        <w:rPr>
          <w:rFonts w:hint="default" w:ascii="Nimbus Roman No9 L" w:hAnsi="Nimbus Roman No9 L" w:eastAsia="方正仿宋简体" w:cs="Nimbus Roman No9 L"/>
          <w:sz w:val="32"/>
          <w:szCs w:val="32"/>
          <w:lang w:val="en-US" w:eastAsia="zh-CN"/>
        </w:rPr>
      </w:pP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560" w:lineRule="exact"/>
        <w:ind w:left="0" w:right="0" w:firstLine="0" w:firstLineChars="0"/>
        <w:jc w:val="right"/>
        <w:textAlignment w:val="baseline"/>
        <w:rPr>
          <w:rFonts w:hint="default" w:ascii="Nimbus Roman No9 L" w:hAnsi="Nimbus Roman No9 L" w:eastAsia="方正仿宋简体" w:cs="Nimbus Roman No9 L"/>
          <w:sz w:val="32"/>
          <w:szCs w:val="32"/>
          <w:lang w:val="en-US" w:eastAsia="zh-CN"/>
        </w:rPr>
      </w:pPr>
      <w:r>
        <w:rPr>
          <w:rFonts w:hint="default" w:ascii="Nimbus Roman No9 L" w:hAnsi="Nimbus Roman No9 L" w:eastAsia="方正仿宋简体" w:cs="Nimbus Roman No9 L"/>
          <w:sz w:val="32"/>
          <w:szCs w:val="32"/>
          <w:lang w:val="en-US" w:eastAsia="zh-CN"/>
        </w:rPr>
        <w:t>平远县人民政府办公室</w:t>
      </w:r>
      <w:r>
        <w:rPr>
          <w:rFonts w:hint="eastAsia" w:ascii="方正仿宋简体" w:hAnsi="等线" w:eastAsia="方正仿宋简体" w:cs="Times New Roman"/>
          <w:spacing w:val="-10"/>
          <w:sz w:val="32"/>
          <w:szCs w:val="32"/>
          <w:lang w:val="en-US" w:eastAsia="zh-CN"/>
        </w:rPr>
        <w:t xml:space="preserve">     </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560" w:lineRule="exact"/>
        <w:ind w:left="0" w:right="0" w:firstLine="0" w:firstLineChars="0"/>
        <w:jc w:val="right"/>
        <w:textAlignment w:val="baseline"/>
        <w:rPr>
          <w:rFonts w:hint="default" w:ascii="Nimbus Roman No9 L" w:hAnsi="Nimbus Roman No9 L" w:eastAsia="方正仿宋简体" w:cs="Nimbus Roman No9 L"/>
          <w:sz w:val="32"/>
          <w:szCs w:val="32"/>
          <w:lang w:val="en-US" w:eastAsia="zh-CN"/>
        </w:rPr>
      </w:pPr>
      <w:r>
        <w:rPr>
          <w:rFonts w:hint="default" w:ascii="Nimbus Roman No9 L" w:hAnsi="Nimbus Roman No9 L" w:eastAsia="方正仿宋简体" w:cs="Nimbus Roman No9 L"/>
          <w:sz w:val="32"/>
          <w:szCs w:val="32"/>
          <w:lang w:val="en-US" w:eastAsia="zh-CN"/>
        </w:rPr>
        <w:t>202</w:t>
      </w:r>
      <w:r>
        <w:rPr>
          <w:rFonts w:hint="eastAsia" w:ascii="Nimbus Roman No9 L" w:hAnsi="Nimbus Roman No9 L" w:eastAsia="方正仿宋简体" w:cs="Nimbus Roman No9 L"/>
          <w:sz w:val="32"/>
          <w:szCs w:val="32"/>
          <w:lang w:val="en-US" w:eastAsia="zh-CN"/>
        </w:rPr>
        <w:t>3</w:t>
      </w:r>
      <w:r>
        <w:rPr>
          <w:rFonts w:hint="default" w:ascii="Nimbus Roman No9 L" w:hAnsi="Nimbus Roman No9 L" w:eastAsia="方正仿宋简体" w:cs="Nimbus Roman No9 L"/>
          <w:sz w:val="32"/>
          <w:szCs w:val="32"/>
          <w:lang w:val="en-US" w:eastAsia="zh-CN"/>
        </w:rPr>
        <w:t>年4月</w:t>
      </w:r>
      <w:r>
        <w:rPr>
          <w:rFonts w:hint="default" w:ascii="Nimbus Roman No9 L" w:hAnsi="Nimbus Roman No9 L" w:eastAsia="方正仿宋简体" w:cs="Nimbus Roman No9 L"/>
          <w:spacing w:val="-10"/>
          <w:sz w:val="32"/>
          <w:szCs w:val="32"/>
          <w:lang w:val="en-US" w:eastAsia="zh-CN"/>
        </w:rPr>
        <w:t>20</w:t>
      </w:r>
      <w:r>
        <w:rPr>
          <w:rFonts w:hint="default" w:ascii="Nimbus Roman No9 L" w:hAnsi="Nimbus Roman No9 L" w:eastAsia="方正仿宋简体" w:cs="Nimbus Roman No9 L"/>
          <w:sz w:val="32"/>
          <w:szCs w:val="32"/>
          <w:lang w:val="en-US" w:eastAsia="zh-CN"/>
        </w:rPr>
        <w:t>日</w:t>
      </w:r>
      <w:r>
        <w:rPr>
          <w:rFonts w:hint="default" w:ascii="Nimbus Roman No9 L" w:hAnsi="Nimbus Roman No9 L" w:eastAsia="方正仿宋简体" w:cs="Nimbus Roman No9 L"/>
          <w:spacing w:val="-10"/>
          <w:sz w:val="32"/>
          <w:szCs w:val="32"/>
          <w:lang w:val="en-US" w:eastAsia="zh-CN"/>
        </w:rPr>
        <w:t xml:space="preserve"> </w:t>
      </w:r>
      <w:r>
        <w:rPr>
          <w:rFonts w:hint="eastAsia" w:ascii="方正仿宋简体" w:hAnsi="等线" w:eastAsia="方正仿宋简体" w:cs="Times New Roman"/>
          <w:spacing w:val="-10"/>
          <w:sz w:val="32"/>
          <w:szCs w:val="32"/>
          <w:lang w:val="en-US" w:eastAsia="zh-CN"/>
        </w:rPr>
        <w:t xml:space="preserve">       </w:t>
      </w:r>
    </w:p>
    <w:p>
      <w:pPr>
        <w:autoSpaceDE w:val="0"/>
        <w:spacing w:line="560" w:lineRule="exact"/>
        <w:ind w:firstLine="640" w:firstLineChars="200"/>
        <w:jc w:val="both"/>
        <w:rPr>
          <w:rFonts w:hint="eastAsia" w:ascii="Times New Roman" w:hAnsi="Times New Roman" w:eastAsia="方正仿宋简体" w:cs="Times New Roman"/>
          <w:sz w:val="32"/>
          <w:szCs w:val="32"/>
          <w:lang w:val="en-US" w:eastAsia="zh-CN"/>
        </w:rPr>
      </w:pPr>
    </w:p>
    <w:p>
      <w:pPr>
        <w:spacing w:line="360" w:lineRule="auto"/>
        <w:ind w:firstLine="0" w:firstLineChars="0"/>
        <w:jc w:val="center"/>
        <w:rPr>
          <w:rFonts w:hint="default" w:ascii="Times New Roman" w:hAnsi="Times New Roman" w:eastAsia="黑体" w:cs="Times New Roman"/>
          <w:sz w:val="21"/>
          <w:szCs w:val="22"/>
        </w:rPr>
      </w:pPr>
    </w:p>
    <w:p>
      <w:pPr>
        <w:spacing w:line="360" w:lineRule="auto"/>
        <w:ind w:firstLine="0" w:firstLineChars="0"/>
        <w:jc w:val="center"/>
        <w:rPr>
          <w:rFonts w:hint="default" w:ascii="Times New Roman" w:hAnsi="Times New Roman" w:eastAsia="黑体" w:cs="Times New Roman"/>
          <w:sz w:val="21"/>
          <w:szCs w:val="22"/>
        </w:rPr>
      </w:pPr>
    </w:p>
    <w:p>
      <w:pPr>
        <w:spacing w:line="360" w:lineRule="auto"/>
        <w:ind w:firstLine="0" w:firstLineChars="0"/>
        <w:jc w:val="center"/>
        <w:rPr>
          <w:rFonts w:hint="default" w:ascii="Times New Roman" w:hAnsi="Times New Roman" w:eastAsia="黑体" w:cs="Times New Roman"/>
          <w:sz w:val="21"/>
          <w:szCs w:val="22"/>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adjustRightInd w:val="0"/>
        <w:spacing w:line="480" w:lineRule="auto"/>
        <w:ind w:firstLine="0" w:firstLineChars="0"/>
        <w:jc w:val="center"/>
        <w:rPr>
          <w:rFonts w:hint="eastAsia" w:ascii="方正小标宋简体" w:hAnsi="方正小标宋简体" w:eastAsia="方正小标宋简体" w:cs="方正小标宋简体"/>
          <w:b w:val="0"/>
          <w:bCs/>
          <w:color w:val="auto"/>
          <w:sz w:val="44"/>
          <w:szCs w:val="44"/>
        </w:rPr>
      </w:pPr>
      <w:bookmarkStart w:id="0" w:name="_Toc10020"/>
      <w:r>
        <w:rPr>
          <w:rFonts w:hint="eastAsia" w:ascii="方正小标宋简体" w:hAnsi="方正小标宋简体" w:eastAsia="方正小标宋简体" w:cs="方正小标宋简体"/>
          <w:b w:val="0"/>
          <w:bCs/>
          <w:color w:val="auto"/>
          <w:sz w:val="44"/>
          <w:szCs w:val="44"/>
        </w:rPr>
        <w:t>平远县</w:t>
      </w:r>
      <w:bookmarkEnd w:id="0"/>
      <w:r>
        <w:rPr>
          <w:rFonts w:hint="eastAsia" w:ascii="方正小标宋简体" w:hAnsi="方正小标宋简体" w:eastAsia="方正小标宋简体" w:cs="方正小标宋简体"/>
          <w:b w:val="0"/>
          <w:bCs/>
          <w:color w:val="auto"/>
          <w:sz w:val="44"/>
          <w:szCs w:val="44"/>
          <w:lang w:eastAsia="zh-CN"/>
        </w:rPr>
        <w:t>综合</w:t>
      </w:r>
      <w:r>
        <w:rPr>
          <w:rFonts w:hint="eastAsia" w:ascii="方正小标宋简体" w:hAnsi="方正小标宋简体" w:eastAsia="方正小标宋简体" w:cs="方正小标宋简体"/>
          <w:b w:val="0"/>
          <w:bCs/>
          <w:color w:val="auto"/>
          <w:sz w:val="44"/>
          <w:szCs w:val="44"/>
        </w:rPr>
        <w:t>交通运输体系“十四五”规划</w:t>
      </w: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pStyle w:val="2"/>
        <w:jc w:val="center"/>
        <w:rPr>
          <w:rFonts w:hint="default" w:ascii="Nimbus Roman No9 L" w:hAnsi="Nimbus Roman No9 L" w:eastAsia="方正仿宋_GBK" w:cs="Nimbus Roman No9 L"/>
          <w:b w:val="0"/>
          <w:bCs w:val="0"/>
          <w:sz w:val="32"/>
          <w:szCs w:val="32"/>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984" w:left="1531" w:header="851" w:footer="992" w:gutter="0"/>
          <w:pgBorders>
            <w:top w:val="none" w:color="auto" w:sz="0" w:space="0"/>
            <w:left w:val="none" w:color="auto" w:sz="0" w:space="0"/>
            <w:bottom w:val="none" w:color="auto" w:sz="0" w:space="0"/>
            <w:right w:val="none" w:color="auto" w:sz="0" w:space="0"/>
          </w:pgBorders>
          <w:pgNumType w:fmt="decimal" w:start="1"/>
          <w:cols w:space="425" w:num="1"/>
          <w:docGrid w:type="lines" w:linePitch="312" w:charSpace="0"/>
        </w:sectPr>
      </w:pPr>
      <w:r>
        <w:rPr>
          <w:rFonts w:hint="default" w:ascii="Nimbus Roman No9 L" w:hAnsi="Nimbus Roman No9 L" w:eastAsia="方正仿宋_GBK" w:cs="Nimbus Roman No9 L"/>
          <w:b w:val="0"/>
          <w:bCs w:val="0"/>
          <w:color w:val="auto"/>
          <w:sz w:val="32"/>
          <w:szCs w:val="32"/>
          <w:lang w:val="en-US" w:eastAsia="zh-CN"/>
        </w:rPr>
        <w:t>2023年4月</w:t>
      </w:r>
    </w:p>
    <w:p>
      <w:pPr>
        <w:ind w:firstLine="0" w:firstLineChars="0"/>
        <w:rPr>
          <w:color w:val="auto"/>
        </w:rPr>
      </w:pPr>
    </w:p>
    <w:sdt>
      <w:sdtPr>
        <w:rPr>
          <w:rFonts w:ascii="宋体" w:hAnsi="宋体" w:eastAsia="宋体"/>
          <w:color w:val="auto"/>
          <w:sz w:val="21"/>
        </w:rPr>
        <w:id w:val="147460997"/>
      </w:sdtPr>
      <w:sdtEndPr>
        <w:rPr>
          <w:rFonts w:ascii="宋体" w:hAnsi="宋体" w:eastAsia="宋体"/>
          <w:b/>
          <w:color w:val="auto"/>
          <w:sz w:val="21"/>
        </w:rPr>
      </w:sdtEndPr>
      <w:sdtContent>
        <w:p>
          <w:pPr>
            <w:spacing w:before="0" w:beforeLines="0" w:after="0" w:afterLines="0" w:line="240" w:lineRule="auto"/>
            <w:ind w:left="0" w:leftChars="0" w:right="0" w:rightChars="0" w:firstLine="0" w:firstLineChars="0"/>
            <w:jc w:val="center"/>
            <w:rPr>
              <w:rFonts w:hint="default" w:ascii="Nimbus Roman No9 L" w:hAnsi="Nimbus Roman No9 L" w:eastAsia="方正黑体_GBK" w:cs="Nimbus Roman No9 L"/>
              <w:b w:val="0"/>
              <w:bCs w:val="0"/>
              <w:color w:val="auto"/>
              <w:sz w:val="48"/>
              <w:szCs w:val="36"/>
            </w:rPr>
          </w:pPr>
          <w:r>
            <w:rPr>
              <w:rFonts w:hint="default" w:ascii="Nimbus Roman No9 L" w:hAnsi="Nimbus Roman No9 L" w:eastAsia="方正黑体_GBK" w:cs="Nimbus Roman No9 L"/>
              <w:b w:val="0"/>
              <w:bCs w:val="0"/>
              <w:color w:val="auto"/>
              <w:sz w:val="44"/>
              <w:szCs w:val="44"/>
            </w:rPr>
            <w:t>目</w:t>
          </w:r>
          <w:r>
            <w:rPr>
              <w:rFonts w:hint="default" w:ascii="Nimbus Roman No9 L" w:hAnsi="Nimbus Roman No9 L" w:eastAsia="方正黑体_GBK" w:cs="Nimbus Roman No9 L"/>
              <w:b w:val="0"/>
              <w:bCs w:val="0"/>
              <w:color w:val="auto"/>
              <w:sz w:val="44"/>
              <w:szCs w:val="44"/>
              <w:lang w:val="en-US" w:eastAsia="zh-CN"/>
            </w:rPr>
            <w:t xml:space="preserve">  </w:t>
          </w:r>
          <w:r>
            <w:rPr>
              <w:rFonts w:hint="default" w:ascii="Nimbus Roman No9 L" w:hAnsi="Nimbus Roman No9 L" w:eastAsia="方正黑体_GBK" w:cs="Nimbus Roman No9 L"/>
              <w:b w:val="0"/>
              <w:bCs w:val="0"/>
              <w:color w:val="auto"/>
              <w:sz w:val="44"/>
              <w:szCs w:val="44"/>
            </w:rPr>
            <w:t>录</w:t>
          </w:r>
        </w:p>
        <w:p>
          <w:pPr>
            <w:pStyle w:val="15"/>
            <w:tabs>
              <w:tab w:val="right" w:leader="dot" w:pos="9354"/>
            </w:tabs>
            <w:ind w:left="0" w:leftChars="0" w:firstLine="0" w:firstLineChars="0"/>
            <w:rPr>
              <w:rFonts w:hint="default" w:ascii="Nimbus Roman No9 L" w:hAnsi="Nimbus Roman No9 L" w:cs="Nimbus Roman No9 L"/>
              <w:color w:val="auto"/>
            </w:rPr>
          </w:pPr>
          <w:r>
            <w:rPr>
              <w:rFonts w:hint="default" w:ascii="Nimbus Roman No9 L" w:hAnsi="Nimbus Roman No9 L" w:cs="Nimbus Roman No9 L" w:eastAsiaTheme="minorEastAsia"/>
              <w:color w:val="auto"/>
              <w:kern w:val="0"/>
              <w:sz w:val="20"/>
              <w:szCs w:val="20"/>
            </w:rPr>
            <w:fldChar w:fldCharType="begin"/>
          </w:r>
          <w:r>
            <w:rPr>
              <w:rFonts w:hint="default" w:ascii="Nimbus Roman No9 L" w:hAnsi="Nimbus Roman No9 L" w:cs="Nimbus Roman No9 L"/>
              <w:color w:val="auto"/>
            </w:rPr>
            <w:instrText xml:space="preserve">TOC \o "1-2" \h \u </w:instrText>
          </w:r>
          <w:r>
            <w:rPr>
              <w:rFonts w:hint="default" w:ascii="Nimbus Roman No9 L" w:hAnsi="Nimbus Roman No9 L" w:cs="Nimbus Roman No9 L" w:eastAsiaTheme="minorEastAsia"/>
              <w:color w:val="auto"/>
              <w:kern w:val="0"/>
              <w:sz w:val="20"/>
              <w:szCs w:val="20"/>
            </w:rPr>
            <w:fldChar w:fldCharType="separate"/>
          </w: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HYPERLINK \l _Toc26041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rPr>
            <w:t>一、指导思想与总体目标</w:t>
          </w:r>
          <w:r>
            <w:rPr>
              <w:rFonts w:hint="default" w:ascii="Nimbus Roman No9 L" w:hAnsi="Nimbus Roman No9 L" w:eastAsia="方正黑体_GBK" w:cs="Nimbus Roman No9 L"/>
              <w:color w:val="auto"/>
            </w:rPr>
            <w:tab/>
          </w:r>
          <w:r>
            <w:rPr>
              <w:rFonts w:hint="default" w:ascii="Nimbus Roman No9 L" w:hAnsi="Nimbus Roman No9 L" w:eastAsia="方正黑体_GBK" w:cs="Nimbus Roman No9 L"/>
              <w:color w:val="auto"/>
            </w:rPr>
            <w:fldChar w:fldCharType="begin"/>
          </w:r>
          <w:r>
            <w:rPr>
              <w:rFonts w:hint="default" w:ascii="Nimbus Roman No9 L" w:hAnsi="Nimbus Roman No9 L" w:eastAsia="方正黑体_GBK" w:cs="Nimbus Roman No9 L"/>
              <w:color w:val="auto"/>
            </w:rPr>
            <w:instrText xml:space="preserve"> PAGEREF _Toc26041 \h </w:instrText>
          </w:r>
          <w:r>
            <w:rPr>
              <w:rFonts w:hint="default" w:ascii="Nimbus Roman No9 L" w:hAnsi="Nimbus Roman No9 L" w:eastAsia="方正黑体_GBK" w:cs="Nimbus Roman No9 L"/>
              <w:color w:val="auto"/>
            </w:rPr>
            <w:fldChar w:fldCharType="separate"/>
          </w:r>
          <w:r>
            <w:rPr>
              <w:rFonts w:hint="default" w:ascii="Nimbus Roman No9 L" w:hAnsi="Nimbus Roman No9 L" w:eastAsia="方正黑体_GBK" w:cs="Nimbus Roman No9 L"/>
              <w:color w:val="auto"/>
            </w:rPr>
            <w:t>1</w:t>
          </w:r>
          <w:r>
            <w:rPr>
              <w:rFonts w:hint="default" w:ascii="Nimbus Roman No9 L" w:hAnsi="Nimbus Roman No9 L" w:eastAsia="方正黑体_GBK" w:cs="Nimbus Roman No9 L"/>
              <w:color w:val="auto"/>
            </w:rPr>
            <w:fldChar w:fldCharType="end"/>
          </w:r>
          <w:r>
            <w:rPr>
              <w:rFonts w:hint="default" w:ascii="Nimbus Roman No9 L" w:hAnsi="Nimbus Roman No9 L" w:eastAsia="方正黑体_GBK" w:cs="Nimbus Roman No9 L"/>
              <w:color w:val="auto"/>
              <w:kern w:val="0"/>
              <w:szCs w:val="20"/>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_Toc7666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1.1指导思想</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_Toc7666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_Toc14945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1.2政策依据</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_Toc14945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2</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_Toc30196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1.3基本原则</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_Toc30196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3</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_Toc12294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1.4规划范围与期限</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_Toc12294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4</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_Toc7450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1.5总体目标</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_Toc7450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_Toc7920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1.6规划依据</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_Toc7920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5"/>
            <w:tabs>
              <w:tab w:val="right" w:leader="dot" w:pos="9354"/>
            </w:tabs>
            <w:ind w:left="0" w:leftChars="0" w:firstLine="0" w:firstLineChars="0"/>
            <w:rPr>
              <w:rFonts w:hint="default" w:ascii="Nimbus Roman No9 L" w:hAnsi="Nimbus Roman No9 L" w:eastAsia="方正黑体_GBK" w:cs="Nimbus Roman No9 L"/>
              <w:color w:val="auto"/>
              <w:kern w:val="0"/>
              <w:szCs w:val="20"/>
            </w:rPr>
          </w:pP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HYPERLINK \l _Toc11625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二、发展形势</w:t>
          </w:r>
          <w:r>
            <w:rPr>
              <w:rFonts w:hint="default" w:ascii="Nimbus Roman No9 L" w:hAnsi="Nimbus Roman No9 L" w:eastAsia="方正黑体_GBK" w:cs="Nimbus Roman No9 L"/>
              <w:color w:val="auto"/>
              <w:kern w:val="0"/>
              <w:szCs w:val="20"/>
            </w:rPr>
            <w:tab/>
          </w: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PAGEREF _Toc11625 \h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7</w:t>
          </w:r>
          <w:r>
            <w:rPr>
              <w:rFonts w:hint="default" w:ascii="Nimbus Roman No9 L" w:hAnsi="Nimbus Roman No9 L" w:eastAsia="方正黑体_GBK" w:cs="Nimbus Roman No9 L"/>
              <w:color w:val="auto"/>
              <w:kern w:val="0"/>
              <w:szCs w:val="20"/>
            </w:rPr>
            <w:fldChar w:fldCharType="end"/>
          </w:r>
          <w:r>
            <w:rPr>
              <w:rFonts w:hint="default" w:ascii="Nimbus Roman No9 L" w:hAnsi="Nimbus Roman No9 L" w:eastAsia="方正黑体_GBK" w:cs="Nimbus Roman No9 L"/>
              <w:color w:val="auto"/>
              <w:kern w:val="0"/>
              <w:szCs w:val="20"/>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_Toc14464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2.1发展现状</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_Toc14464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_Toc23651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2.2</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十三五</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发展成就</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_Toc23651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10</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_Toc10033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2.3存在问题</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_Toc10033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15</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5"/>
            <w:tabs>
              <w:tab w:val="right" w:leader="dot" w:pos="9354"/>
            </w:tabs>
            <w:ind w:left="0" w:leftChars="0" w:firstLine="0" w:firstLineChars="0"/>
            <w:rPr>
              <w:rFonts w:hint="default" w:ascii="Nimbus Roman No9 L" w:hAnsi="Nimbus Roman No9 L" w:eastAsia="方正黑体_GBK" w:cs="Nimbus Roman No9 L"/>
              <w:color w:val="auto"/>
              <w:kern w:val="0"/>
              <w:szCs w:val="20"/>
            </w:rPr>
          </w:pP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HYPERLINK \l _Toc20886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三、需求预测</w:t>
          </w:r>
          <w:r>
            <w:rPr>
              <w:rFonts w:hint="default" w:ascii="Nimbus Roman No9 L" w:hAnsi="Nimbus Roman No9 L" w:eastAsia="方正黑体_GBK" w:cs="Nimbus Roman No9 L"/>
              <w:color w:val="auto"/>
              <w:kern w:val="0"/>
              <w:szCs w:val="20"/>
            </w:rPr>
            <w:tab/>
          </w: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PAGEREF _Toc20886 \h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17</w:t>
          </w:r>
          <w:r>
            <w:rPr>
              <w:rFonts w:hint="default" w:ascii="Nimbus Roman No9 L" w:hAnsi="Nimbus Roman No9 L" w:eastAsia="方正黑体_GBK" w:cs="Nimbus Roman No9 L"/>
              <w:color w:val="auto"/>
              <w:kern w:val="0"/>
              <w:szCs w:val="20"/>
            </w:rPr>
            <w:fldChar w:fldCharType="end"/>
          </w:r>
          <w:r>
            <w:rPr>
              <w:rFonts w:hint="default" w:ascii="Nimbus Roman No9 L" w:hAnsi="Nimbus Roman No9 L" w:eastAsia="方正黑体_GBK" w:cs="Nimbus Roman No9 L"/>
              <w:color w:val="auto"/>
              <w:kern w:val="0"/>
              <w:szCs w:val="20"/>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_Toc26475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3.1交通量现状</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_Toc26475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17</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_Toc1681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3.2交通量需求预测</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_Toc1681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19</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5"/>
            <w:tabs>
              <w:tab w:val="right" w:leader="dot" w:pos="9354"/>
            </w:tabs>
            <w:ind w:left="0" w:leftChars="0" w:firstLine="0" w:firstLineChars="0"/>
            <w:rPr>
              <w:rFonts w:hint="default" w:ascii="Nimbus Roman No9 L" w:hAnsi="Nimbus Roman No9 L" w:eastAsia="方正黑体_GBK" w:cs="Nimbus Roman No9 L"/>
              <w:color w:val="auto"/>
              <w:kern w:val="0"/>
              <w:szCs w:val="20"/>
            </w:rPr>
          </w:pP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HYPERLINK \l _Toc26660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四、发展环境与相关规划</w:t>
          </w:r>
          <w:r>
            <w:rPr>
              <w:rFonts w:hint="default" w:ascii="Nimbus Roman No9 L" w:hAnsi="Nimbus Roman No9 L" w:eastAsia="方正黑体_GBK" w:cs="Nimbus Roman No9 L"/>
              <w:color w:val="auto"/>
              <w:kern w:val="0"/>
              <w:szCs w:val="20"/>
            </w:rPr>
            <w:tab/>
          </w: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PAGEREF _Toc26660 \h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21</w:t>
          </w:r>
          <w:r>
            <w:rPr>
              <w:rFonts w:hint="default" w:ascii="Nimbus Roman No9 L" w:hAnsi="Nimbus Roman No9 L" w:eastAsia="方正黑体_GBK" w:cs="Nimbus Roman No9 L"/>
              <w:color w:val="auto"/>
              <w:kern w:val="0"/>
              <w:szCs w:val="20"/>
            </w:rPr>
            <w:fldChar w:fldCharType="end"/>
          </w:r>
          <w:r>
            <w:rPr>
              <w:rFonts w:hint="default" w:ascii="Nimbus Roman No9 L" w:hAnsi="Nimbus Roman No9 L" w:eastAsia="方正黑体_GBK" w:cs="Nimbus Roman No9 L"/>
              <w:color w:val="auto"/>
              <w:kern w:val="0"/>
              <w:szCs w:val="20"/>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_Toc9097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4.1国家层面</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_Toc9097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21</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_Toc14700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4.2区域层面</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_Toc14700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22</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_Toc9790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4.3平远层面</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_Toc9790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27</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_Toc72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4.4总结</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_Toc72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33</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5"/>
            <w:tabs>
              <w:tab w:val="right" w:leader="dot" w:pos="9354"/>
            </w:tabs>
            <w:ind w:left="0" w:leftChars="0" w:firstLine="0" w:firstLineChars="0"/>
            <w:rPr>
              <w:rFonts w:hint="default" w:ascii="Nimbus Roman No9 L" w:hAnsi="Nimbus Roman No9 L" w:eastAsia="方正黑体_GBK" w:cs="Nimbus Roman No9 L"/>
              <w:color w:val="auto"/>
              <w:kern w:val="0"/>
              <w:szCs w:val="20"/>
            </w:rPr>
          </w:pP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HYPERLINK \l _Toc19672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五、规划布局与指标</w:t>
          </w:r>
          <w:r>
            <w:rPr>
              <w:rFonts w:hint="default" w:ascii="Nimbus Roman No9 L" w:hAnsi="Nimbus Roman No9 L" w:eastAsia="方正黑体_GBK" w:cs="Nimbus Roman No9 L"/>
              <w:color w:val="auto"/>
              <w:kern w:val="0"/>
              <w:szCs w:val="20"/>
            </w:rPr>
            <w:tab/>
          </w: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PAGEREF _Toc19672 \h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34</w:t>
          </w:r>
          <w:r>
            <w:rPr>
              <w:rFonts w:hint="default" w:ascii="Nimbus Roman No9 L" w:hAnsi="Nimbus Roman No9 L" w:eastAsia="方正黑体_GBK" w:cs="Nimbus Roman No9 L"/>
              <w:color w:val="auto"/>
              <w:kern w:val="0"/>
              <w:szCs w:val="20"/>
            </w:rPr>
            <w:fldChar w:fldCharType="end"/>
          </w:r>
          <w:r>
            <w:rPr>
              <w:rFonts w:hint="default" w:ascii="Nimbus Roman No9 L" w:hAnsi="Nimbus Roman No9 L" w:eastAsia="方正黑体_GBK" w:cs="Nimbus Roman No9 L"/>
              <w:color w:val="auto"/>
              <w:kern w:val="0"/>
              <w:szCs w:val="20"/>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_Toc25234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5.1铁路规划布局</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_Toc25234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37</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_Toc19666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5.2高速公路规划布局</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_Toc19666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38</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_Toc29371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5.3航空发展规划布局</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_Toc29371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40</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_Toc24117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5.4客货运枢纽规划布局</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_Toc24117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42</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_Toc8854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5.5国省干线发展规划布局</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_Toc8854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46</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_Toc9647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5.6农村公路发展规划布局</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_Toc9647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48</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_Toc15778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5.7城乡公交线网发展规划</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_Toc15778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52</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_Toc7235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w:t>
          </w:r>
          <w:r>
            <w:rPr>
              <w:rFonts w:hint="default" w:ascii="Nimbus Roman No9 L" w:hAnsi="Nimbus Roman No9 L" w:eastAsia="方正仿宋_GBK" w:cs="Nimbus Roman No9 L"/>
              <w:color w:val="auto"/>
              <w:lang w:val="en-US" w:eastAsia="zh-CN"/>
            </w:rPr>
            <w:t>8</w:t>
          </w:r>
          <w:r>
            <w:rPr>
              <w:rFonts w:hint="default" w:ascii="Nimbus Roman No9 L" w:hAnsi="Nimbus Roman No9 L" w:eastAsia="方正仿宋_GBK" w:cs="Nimbus Roman No9 L"/>
              <w:color w:val="auto"/>
              <w:lang w:eastAsia="zh-CN"/>
            </w:rPr>
            <w:t>安全</w:t>
          </w:r>
          <w:r>
            <w:rPr>
              <w:rFonts w:hint="default" w:ascii="Nimbus Roman No9 L" w:hAnsi="Nimbus Roman No9 L" w:eastAsia="方正仿宋_GBK" w:cs="Nimbus Roman No9 L"/>
              <w:color w:val="auto"/>
            </w:rPr>
            <w:t>发展规划</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_Toc7235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54</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_Toc11874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w:t>
          </w:r>
          <w:r>
            <w:rPr>
              <w:rFonts w:hint="default" w:ascii="Nimbus Roman No9 L" w:hAnsi="Nimbus Roman No9 L" w:eastAsia="方正仿宋_GBK" w:cs="Nimbus Roman No9 L"/>
              <w:color w:val="auto"/>
              <w:lang w:val="en-US" w:eastAsia="zh-CN"/>
            </w:rPr>
            <w:t>9</w:t>
          </w:r>
          <w:r>
            <w:rPr>
              <w:rFonts w:hint="default" w:ascii="Nimbus Roman No9 L" w:hAnsi="Nimbus Roman No9 L" w:eastAsia="方正仿宋_GBK" w:cs="Nimbus Roman No9 L"/>
              <w:color w:val="auto"/>
            </w:rPr>
            <w:t>可持续发展规划</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_Toc11874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56</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5"/>
            <w:tabs>
              <w:tab w:val="right" w:leader="dot" w:pos="9354"/>
            </w:tabs>
            <w:ind w:left="0" w:leftChars="0" w:firstLine="0" w:firstLineChars="0"/>
            <w:rPr>
              <w:rFonts w:hint="default" w:ascii="Nimbus Roman No9 L" w:hAnsi="Nimbus Roman No9 L" w:eastAsia="方正黑体_GBK" w:cs="Nimbus Roman No9 L"/>
              <w:color w:val="auto"/>
              <w:kern w:val="0"/>
              <w:szCs w:val="20"/>
            </w:rPr>
          </w:pP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HYPERLINK \l _Toc18860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六、重点任务</w:t>
          </w:r>
          <w:r>
            <w:rPr>
              <w:rFonts w:hint="default" w:ascii="Nimbus Roman No9 L" w:hAnsi="Nimbus Roman No9 L" w:eastAsia="方正黑体_GBK" w:cs="Nimbus Roman No9 L"/>
              <w:color w:val="auto"/>
              <w:kern w:val="0"/>
              <w:szCs w:val="20"/>
            </w:rPr>
            <w:tab/>
          </w: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PAGEREF _Toc18860 \h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59</w:t>
          </w:r>
          <w:r>
            <w:rPr>
              <w:rFonts w:hint="default" w:ascii="Nimbus Roman No9 L" w:hAnsi="Nimbus Roman No9 L" w:eastAsia="方正黑体_GBK" w:cs="Nimbus Roman No9 L"/>
              <w:color w:val="auto"/>
              <w:kern w:val="0"/>
              <w:szCs w:val="20"/>
            </w:rPr>
            <w:fldChar w:fldCharType="end"/>
          </w:r>
          <w:r>
            <w:rPr>
              <w:rFonts w:hint="default" w:ascii="Nimbus Roman No9 L" w:hAnsi="Nimbus Roman No9 L" w:eastAsia="方正黑体_GBK" w:cs="Nimbus Roman No9 L"/>
              <w:color w:val="auto"/>
              <w:kern w:val="0"/>
              <w:szCs w:val="20"/>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_Toc12235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6.1构建</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三纵一横</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高快速交通运输通道</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_Toc12235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59</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_Toc3753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6.2高速公路建设与预期</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_Toc3753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61</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_Toc21201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6.3打造</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三纵三横一环</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国省干线骨架</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_Toc21201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65</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_Toc26309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lang w:val="en-US" w:eastAsia="zh-CN"/>
            </w:rPr>
            <w:t>4</w:t>
          </w:r>
          <w:r>
            <w:rPr>
              <w:rFonts w:hint="default" w:ascii="Nimbus Roman No9 L" w:hAnsi="Nimbus Roman No9 L" w:eastAsia="方正仿宋_GBK" w:cs="Nimbus Roman No9 L"/>
              <w:color w:val="auto"/>
            </w:rPr>
            <w:t>提升综合客运服务品质，打造特色的县级公交服务</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_Toc26309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68</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_Toc16785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lang w:val="en-US" w:eastAsia="zh-CN"/>
            </w:rPr>
            <w:t>5</w:t>
          </w:r>
          <w:r>
            <w:rPr>
              <w:rFonts w:hint="default" w:ascii="Nimbus Roman No9 L" w:hAnsi="Nimbus Roman No9 L" w:eastAsia="方正仿宋_GBK" w:cs="Nimbus Roman No9 L"/>
              <w:color w:val="auto"/>
            </w:rPr>
            <w:t>加强物流节点建设强化物流设施</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_Toc16785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70</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_Toc1380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lang w:val="en-US" w:eastAsia="zh-CN"/>
            </w:rPr>
            <w:t>6</w:t>
          </w:r>
          <w:r>
            <w:rPr>
              <w:rFonts w:hint="default" w:ascii="Nimbus Roman No9 L" w:hAnsi="Nimbus Roman No9 L" w:eastAsia="方正仿宋_GBK" w:cs="Nimbus Roman No9 L"/>
              <w:color w:val="auto"/>
            </w:rPr>
            <w:t>建设</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四好农村路</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，构建畅通的农村公路网</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_Toc1380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72</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_Toc13494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lang w:eastAsia="zh-CN"/>
            </w:rPr>
            <w:t>6.7</w:t>
          </w:r>
          <w:r>
            <w:rPr>
              <w:rFonts w:hint="default" w:ascii="Nimbus Roman No9 L" w:hAnsi="Nimbus Roman No9 L" w:eastAsia="方正仿宋_GBK" w:cs="Nimbus Roman No9 L"/>
              <w:color w:val="auto"/>
              <w:lang w:val="en-US" w:eastAsia="zh-CN"/>
            </w:rPr>
            <w:t>推动干线公路与城市道路融合发展</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_Toc13494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74</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_Toc4113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lang w:val="en-US" w:eastAsia="zh-CN"/>
            </w:rPr>
            <w:t>8</w:t>
          </w:r>
          <w:r>
            <w:rPr>
              <w:rFonts w:hint="default" w:ascii="Nimbus Roman No9 L" w:hAnsi="Nimbus Roman No9 L" w:eastAsia="方正仿宋_GBK" w:cs="Nimbus Roman No9 L"/>
              <w:color w:val="auto"/>
            </w:rPr>
            <w:t>利用苏区和旅游资源，创建旅游示范公路</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_Toc4113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75</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_Toc29952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lang w:val="en-US" w:eastAsia="zh-CN"/>
            </w:rPr>
            <w:t>9</w:t>
          </w:r>
          <w:r>
            <w:rPr>
              <w:rFonts w:hint="default" w:ascii="Nimbus Roman No9 L" w:hAnsi="Nimbus Roman No9 L" w:eastAsia="方正仿宋_GBK" w:cs="Nimbus Roman No9 L"/>
              <w:color w:val="auto"/>
            </w:rPr>
            <w:t>积极谋划推进航空设施建设</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_Toc29952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76</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_Toc2145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lang w:val="en-US" w:eastAsia="zh-CN"/>
            </w:rPr>
            <w:t>10</w:t>
          </w:r>
          <w:r>
            <w:rPr>
              <w:rFonts w:hint="default" w:ascii="Nimbus Roman No9 L" w:hAnsi="Nimbus Roman No9 L" w:eastAsia="方正仿宋_GBK" w:cs="Nimbus Roman No9 L"/>
              <w:color w:val="auto"/>
            </w:rPr>
            <w:t>大力提升综合运输服务水平</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_Toc2145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76</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_Toc21023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lang w:val="en-US" w:eastAsia="zh-CN"/>
            </w:rPr>
            <w:t>11</w:t>
          </w:r>
          <w:r>
            <w:rPr>
              <w:rFonts w:hint="default" w:ascii="Nimbus Roman No9 L" w:hAnsi="Nimbus Roman No9 L" w:eastAsia="方正仿宋_GBK" w:cs="Nimbus Roman No9 L"/>
              <w:color w:val="auto"/>
            </w:rPr>
            <w:t>利用科技手段，全面提升综合执法水平</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_Toc21023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77</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5"/>
            <w:tabs>
              <w:tab w:val="right" w:leader="dot" w:pos="9354"/>
            </w:tabs>
            <w:ind w:left="0" w:leftChars="0" w:firstLine="0" w:firstLineChars="0"/>
            <w:rPr>
              <w:rFonts w:hint="default" w:ascii="Nimbus Roman No9 L" w:hAnsi="Nimbus Roman No9 L" w:eastAsia="方正黑体_GBK" w:cs="Nimbus Roman No9 L"/>
              <w:color w:val="auto"/>
              <w:kern w:val="0"/>
              <w:szCs w:val="20"/>
            </w:rPr>
          </w:pP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HYPERLINK \l _Toc18932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七、保障措施</w:t>
          </w:r>
          <w:r>
            <w:rPr>
              <w:rFonts w:hint="default" w:ascii="Nimbus Roman No9 L" w:hAnsi="Nimbus Roman No9 L" w:eastAsia="方正黑体_GBK" w:cs="Nimbus Roman No9 L"/>
              <w:color w:val="auto"/>
              <w:kern w:val="0"/>
              <w:szCs w:val="20"/>
            </w:rPr>
            <w:tab/>
          </w: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PAGEREF _Toc18932 \h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78</w:t>
          </w:r>
          <w:r>
            <w:rPr>
              <w:rFonts w:hint="default" w:ascii="Nimbus Roman No9 L" w:hAnsi="Nimbus Roman No9 L" w:eastAsia="方正黑体_GBK" w:cs="Nimbus Roman No9 L"/>
              <w:color w:val="auto"/>
              <w:kern w:val="0"/>
              <w:szCs w:val="20"/>
            </w:rPr>
            <w:fldChar w:fldCharType="end"/>
          </w:r>
          <w:r>
            <w:rPr>
              <w:rFonts w:hint="default" w:ascii="Nimbus Roman No9 L" w:hAnsi="Nimbus Roman No9 L" w:eastAsia="方正黑体_GBK" w:cs="Nimbus Roman No9 L"/>
              <w:color w:val="auto"/>
              <w:kern w:val="0"/>
              <w:szCs w:val="20"/>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_Toc314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7.1加强党的领导，</w:t>
          </w:r>
          <w:r>
            <w:rPr>
              <w:rFonts w:hint="default" w:ascii="Nimbus Roman No9 L" w:hAnsi="Nimbus Roman No9 L" w:eastAsia="方正仿宋_GBK" w:cs="Nimbus Roman No9 L"/>
              <w:color w:val="auto"/>
              <w:lang w:val="en-US" w:eastAsia="zh-CN"/>
            </w:rPr>
            <w:t>提升</w:t>
          </w:r>
          <w:r>
            <w:rPr>
              <w:rFonts w:hint="default" w:ascii="Nimbus Roman No9 L" w:hAnsi="Nimbus Roman No9 L" w:eastAsia="方正仿宋_GBK" w:cs="Nimbus Roman No9 L"/>
              <w:color w:val="auto"/>
            </w:rPr>
            <w:t>政治站位、增强规划执行力</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_Toc314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78</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_Toc25931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7.2强化资金保障，争取政策支持</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_Toc25931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78</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_Toc10459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7.3注重规划衔接，保障建设用地用林</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_Toc10459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79</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_Toc9877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7.4注重人才培养，弘扬行业核心价值</w:t>
          </w:r>
          <w:r>
            <w:rPr>
              <w:rFonts w:hint="default" w:ascii="Nimbus Roman No9 L" w:hAnsi="Nimbus Roman No9 L" w:eastAsia="方正仿宋_GBK" w:cs="Nimbus Roman No9 L"/>
              <w:color w:val="auto"/>
              <w:lang w:val="en-US" w:eastAsia="zh-CN"/>
            </w:rPr>
            <w:t>体系</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_Toc9877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79</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_Toc19737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7.5积极实施可持续发展战略，重视绿色发展</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_Toc19737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79</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6"/>
            <w:tabs>
              <w:tab w:val="right" w:leader="dot" w:pos="9354"/>
            </w:tabs>
            <w:ind w:left="0" w:leftChars="0" w:firstLine="600" w:firstLineChars="200"/>
            <w:rPr>
              <w:rFonts w:hint="default" w:ascii="Nimbus Roman No9 L" w:hAnsi="Nimbus Roman No9 L" w:cs="Nimbus Roman No9 L"/>
              <w:color w:val="auto"/>
            </w:rPr>
          </w:pP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HYPERLINK \l _Toc20386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7.6夯实责任落实，确保取得实效</w:t>
          </w:r>
          <w:r>
            <w:rPr>
              <w:rFonts w:hint="default" w:ascii="Nimbus Roman No9 L" w:hAnsi="Nimbus Roman No9 L" w:eastAsia="方正仿宋_GBK" w:cs="Nimbus Roman No9 L"/>
              <w:color w:val="auto"/>
            </w:rPr>
            <w:tab/>
          </w:r>
          <w:r>
            <w:rPr>
              <w:rFonts w:hint="default" w:ascii="Nimbus Roman No9 L" w:hAnsi="Nimbus Roman No9 L" w:eastAsia="方正仿宋_GBK" w:cs="Nimbus Roman No9 L"/>
              <w:color w:val="auto"/>
            </w:rPr>
            <w:fldChar w:fldCharType="begin"/>
          </w:r>
          <w:r>
            <w:rPr>
              <w:rFonts w:hint="default" w:ascii="Nimbus Roman No9 L" w:hAnsi="Nimbus Roman No9 L" w:eastAsia="方正仿宋_GBK" w:cs="Nimbus Roman No9 L"/>
              <w:color w:val="auto"/>
            </w:rPr>
            <w:instrText xml:space="preserve"> PAGEREF _Toc20386 \h </w:instrText>
          </w:r>
          <w:r>
            <w:rPr>
              <w:rFonts w:hint="default" w:ascii="Nimbus Roman No9 L" w:hAnsi="Nimbus Roman No9 L" w:eastAsia="方正仿宋_GBK" w:cs="Nimbus Roman No9 L"/>
              <w:color w:val="auto"/>
            </w:rPr>
            <w:fldChar w:fldCharType="separate"/>
          </w:r>
          <w:r>
            <w:rPr>
              <w:rFonts w:hint="default" w:ascii="Nimbus Roman No9 L" w:hAnsi="Nimbus Roman No9 L" w:eastAsia="方正仿宋_GBK" w:cs="Nimbus Roman No9 L"/>
              <w:color w:val="auto"/>
            </w:rPr>
            <w:t>80</w:t>
          </w:r>
          <w:r>
            <w:rPr>
              <w:rFonts w:hint="default" w:ascii="Nimbus Roman No9 L" w:hAnsi="Nimbus Roman No9 L" w:eastAsia="方正仿宋_GBK" w:cs="Nimbus Roman No9 L"/>
              <w:color w:val="auto"/>
            </w:rPr>
            <w:fldChar w:fldCharType="end"/>
          </w:r>
          <w:r>
            <w:rPr>
              <w:rFonts w:hint="default" w:ascii="Nimbus Roman No9 L" w:hAnsi="Nimbus Roman No9 L" w:eastAsia="方正仿宋_GBK" w:cs="Nimbus Roman No9 L"/>
              <w:color w:val="auto"/>
            </w:rPr>
            <w:fldChar w:fldCharType="end"/>
          </w:r>
        </w:p>
        <w:p>
          <w:pPr>
            <w:pStyle w:val="15"/>
            <w:tabs>
              <w:tab w:val="right" w:leader="dot" w:pos="9354"/>
            </w:tabs>
            <w:ind w:left="0" w:leftChars="0" w:firstLine="0" w:firstLineChars="0"/>
            <w:rPr>
              <w:rFonts w:hint="default" w:ascii="Nimbus Roman No9 L" w:hAnsi="Nimbus Roman No9 L" w:eastAsia="方正黑体_GBK" w:cs="Nimbus Roman No9 L"/>
              <w:color w:val="auto"/>
              <w:kern w:val="0"/>
              <w:szCs w:val="20"/>
            </w:rPr>
          </w:pP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HYPERLINK \l _Toc9785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附</w:t>
          </w:r>
          <w:r>
            <w:rPr>
              <w:rFonts w:hint="eastAsia" w:ascii="Nimbus Roman No9 L" w:hAnsi="Nimbus Roman No9 L" w:eastAsia="方正黑体_GBK" w:cs="Nimbus Roman No9 L"/>
              <w:color w:val="auto"/>
              <w:kern w:val="0"/>
              <w:szCs w:val="20"/>
              <w:lang w:eastAsia="zh-CN"/>
            </w:rPr>
            <w:t>件</w:t>
          </w:r>
          <w:r>
            <w:rPr>
              <w:rFonts w:hint="default" w:ascii="Nimbus Roman No9 L" w:hAnsi="Nimbus Roman No9 L" w:eastAsia="方正黑体_GBK" w:cs="Nimbus Roman No9 L"/>
              <w:color w:val="auto"/>
              <w:kern w:val="0"/>
              <w:szCs w:val="20"/>
            </w:rPr>
            <w:t>：平远县</w:t>
          </w:r>
          <w:r>
            <w:rPr>
              <w:rFonts w:hint="eastAsia" w:ascii="Nimbus Roman No9 L" w:hAnsi="Nimbus Roman No9 L" w:eastAsia="方正黑体_GBK" w:cs="Nimbus Roman No9 L"/>
              <w:color w:val="auto"/>
              <w:kern w:val="0"/>
              <w:szCs w:val="20"/>
              <w:lang w:eastAsia="zh-CN"/>
            </w:rPr>
            <w:t>“</w:t>
          </w:r>
          <w:r>
            <w:rPr>
              <w:rFonts w:hint="default" w:ascii="Nimbus Roman No9 L" w:hAnsi="Nimbus Roman No9 L" w:eastAsia="方正黑体_GBK" w:cs="Nimbus Roman No9 L"/>
              <w:color w:val="auto"/>
              <w:kern w:val="0"/>
              <w:szCs w:val="20"/>
            </w:rPr>
            <w:t>十四五</w:t>
          </w:r>
          <w:r>
            <w:rPr>
              <w:rFonts w:hint="eastAsia" w:ascii="Nimbus Roman No9 L" w:hAnsi="Nimbus Roman No9 L" w:eastAsia="方正黑体_GBK" w:cs="Nimbus Roman No9 L"/>
              <w:color w:val="auto"/>
              <w:kern w:val="0"/>
              <w:szCs w:val="20"/>
              <w:lang w:eastAsia="zh-CN"/>
            </w:rPr>
            <w:t>”</w:t>
          </w:r>
          <w:r>
            <w:rPr>
              <w:rFonts w:hint="default" w:ascii="Nimbus Roman No9 L" w:hAnsi="Nimbus Roman No9 L" w:eastAsia="方正黑体_GBK" w:cs="Nimbus Roman No9 L"/>
              <w:color w:val="auto"/>
              <w:kern w:val="0"/>
              <w:szCs w:val="20"/>
            </w:rPr>
            <w:t>综合交通运输重点建设项目</w:t>
          </w:r>
          <w:r>
            <w:rPr>
              <w:rFonts w:hint="default" w:ascii="Nimbus Roman No9 L" w:hAnsi="Nimbus Roman No9 L" w:eastAsia="方正黑体_GBK" w:cs="Nimbus Roman No9 L"/>
              <w:color w:val="auto"/>
              <w:kern w:val="0"/>
              <w:szCs w:val="20"/>
            </w:rPr>
            <w:tab/>
          </w:r>
          <w:r>
            <w:rPr>
              <w:rFonts w:hint="default" w:ascii="Nimbus Roman No9 L" w:hAnsi="Nimbus Roman No9 L" w:eastAsia="方正黑体_GBK" w:cs="Nimbus Roman No9 L"/>
              <w:color w:val="auto"/>
              <w:kern w:val="0"/>
              <w:szCs w:val="20"/>
            </w:rPr>
            <w:fldChar w:fldCharType="begin"/>
          </w:r>
          <w:r>
            <w:rPr>
              <w:rFonts w:hint="default" w:ascii="Nimbus Roman No9 L" w:hAnsi="Nimbus Roman No9 L" w:eastAsia="方正黑体_GBK" w:cs="Nimbus Roman No9 L"/>
              <w:color w:val="auto"/>
              <w:kern w:val="0"/>
              <w:szCs w:val="20"/>
            </w:rPr>
            <w:instrText xml:space="preserve"> PAGEREF _Toc9785 \h </w:instrText>
          </w:r>
          <w:r>
            <w:rPr>
              <w:rFonts w:hint="default" w:ascii="Nimbus Roman No9 L" w:hAnsi="Nimbus Roman No9 L" w:eastAsia="方正黑体_GBK" w:cs="Nimbus Roman No9 L"/>
              <w:color w:val="auto"/>
              <w:kern w:val="0"/>
              <w:szCs w:val="20"/>
            </w:rPr>
            <w:fldChar w:fldCharType="separate"/>
          </w:r>
          <w:r>
            <w:rPr>
              <w:rFonts w:hint="default" w:ascii="Nimbus Roman No9 L" w:hAnsi="Nimbus Roman No9 L" w:eastAsia="方正黑体_GBK" w:cs="Nimbus Roman No9 L"/>
              <w:color w:val="auto"/>
              <w:kern w:val="0"/>
              <w:szCs w:val="20"/>
            </w:rPr>
            <w:t>8</w:t>
          </w:r>
          <w:r>
            <w:rPr>
              <w:rFonts w:hint="eastAsia" w:ascii="Nimbus Roman No9 L" w:hAnsi="Nimbus Roman No9 L" w:eastAsia="方正黑体_GBK" w:cs="Nimbus Roman No9 L"/>
              <w:color w:val="auto"/>
              <w:kern w:val="0"/>
              <w:szCs w:val="20"/>
              <w:lang w:val="en-US" w:eastAsia="zh-CN"/>
            </w:rPr>
            <w:t>0</w:t>
          </w:r>
          <w:r>
            <w:rPr>
              <w:rFonts w:hint="default" w:ascii="Nimbus Roman No9 L" w:hAnsi="Nimbus Roman No9 L" w:eastAsia="方正黑体_GBK" w:cs="Nimbus Roman No9 L"/>
              <w:color w:val="auto"/>
              <w:kern w:val="0"/>
              <w:szCs w:val="20"/>
            </w:rPr>
            <w:fldChar w:fldCharType="end"/>
          </w:r>
          <w:r>
            <w:rPr>
              <w:rFonts w:hint="default" w:ascii="Nimbus Roman No9 L" w:hAnsi="Nimbus Roman No9 L" w:eastAsia="方正黑体_GBK" w:cs="Nimbus Roman No9 L"/>
              <w:color w:val="auto"/>
              <w:kern w:val="0"/>
              <w:szCs w:val="20"/>
            </w:rPr>
            <w:fldChar w:fldCharType="end"/>
          </w:r>
        </w:p>
        <w:p>
          <w:pPr>
            <w:ind w:firstLine="600"/>
            <w:rPr>
              <w:color w:val="auto"/>
            </w:rPr>
            <w:sectPr>
              <w:footerReference r:id="rId9" w:type="default"/>
              <w:pgSz w:w="11906" w:h="16838"/>
              <w:pgMar w:top="2098" w:right="1531" w:bottom="1984" w:left="1531" w:header="851" w:footer="992" w:gutter="0"/>
              <w:pgBorders>
                <w:top w:val="none" w:color="auto" w:sz="0" w:space="0"/>
                <w:left w:val="none" w:color="auto" w:sz="0" w:space="0"/>
                <w:bottom w:val="none" w:color="auto" w:sz="0" w:space="0"/>
                <w:right w:val="none" w:color="auto" w:sz="0" w:space="0"/>
              </w:pgBorders>
              <w:pgNumType w:fmt="decimal" w:start="1"/>
              <w:cols w:space="425" w:num="1"/>
              <w:docGrid w:type="lines" w:linePitch="312" w:charSpace="0"/>
            </w:sectPr>
          </w:pPr>
          <w:r>
            <w:rPr>
              <w:rFonts w:hint="default" w:ascii="Nimbus Roman No9 L" w:hAnsi="Nimbus Roman No9 L" w:cs="Nimbus Roman No9 L"/>
              <w:color w:val="auto"/>
            </w:rPr>
            <w:fldChar w:fldCharType="end"/>
          </w:r>
        </w:p>
      </w:sdtContent>
    </w:sdt>
    <w:p>
      <w:pPr>
        <w:pStyle w:val="3"/>
        <w:pageBreakBefore w:val="0"/>
        <w:kinsoku/>
        <w:wordWrap/>
        <w:overflowPunct/>
        <w:topLinePunct w:val="0"/>
        <w:autoSpaceDE/>
        <w:autoSpaceDN/>
        <w:bidi w:val="0"/>
        <w:adjustRightInd/>
        <w:snapToGrid/>
        <w:spacing w:line="560" w:lineRule="exact"/>
        <w:ind w:firstLine="640" w:firstLineChars="200"/>
        <w:jc w:val="left"/>
        <w:textAlignment w:val="auto"/>
        <w:rPr>
          <w:b w:val="0"/>
          <w:bCs/>
          <w:color w:val="auto"/>
        </w:rPr>
      </w:pPr>
      <w:bookmarkStart w:id="1" w:name="_Toc26041"/>
      <w:r>
        <w:rPr>
          <w:rFonts w:hint="eastAsia"/>
          <w:b w:val="0"/>
          <w:bCs/>
          <w:color w:val="auto"/>
        </w:rPr>
        <w:t>一</w:t>
      </w:r>
      <w:r>
        <w:rPr>
          <w:b w:val="0"/>
          <w:bCs/>
          <w:color w:val="auto"/>
        </w:rPr>
        <w:t>、</w:t>
      </w:r>
      <w:r>
        <w:rPr>
          <w:rFonts w:hint="eastAsia"/>
          <w:b w:val="0"/>
          <w:bCs/>
          <w:color w:val="auto"/>
        </w:rPr>
        <w:t>指导思想</w:t>
      </w:r>
      <w:r>
        <w:rPr>
          <w:b w:val="0"/>
          <w:bCs/>
          <w:color w:val="auto"/>
        </w:rPr>
        <w:t>与</w:t>
      </w:r>
      <w:r>
        <w:rPr>
          <w:rFonts w:hint="eastAsia"/>
          <w:b w:val="0"/>
          <w:bCs/>
          <w:color w:val="auto"/>
        </w:rPr>
        <w:t>总体目标</w:t>
      </w:r>
      <w:bookmarkEnd w:id="1"/>
    </w:p>
    <w:p>
      <w:pPr>
        <w:pStyle w:val="4"/>
        <w:pageBreakBefore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2" w:name="_Toc7666"/>
      <w:r>
        <w:rPr>
          <w:rFonts w:hint="default" w:ascii="Nimbus Roman No9 L" w:hAnsi="Nimbus Roman No9 L" w:eastAsia="方正楷体_GBK" w:cs="Nimbus Roman No9 L"/>
          <w:b w:val="0"/>
          <w:bCs/>
          <w:color w:val="auto"/>
          <w:sz w:val="32"/>
          <w:szCs w:val="32"/>
        </w:rPr>
        <w:t>1.1指导思想</w:t>
      </w:r>
      <w:bookmarkEnd w:id="2"/>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baseline"/>
        <w:rPr>
          <w:rFonts w:hint="default" w:ascii="Nimbus Roman No9 L" w:hAnsi="Nimbus Roman No9 L" w:eastAsia="方正仿宋简体" w:cs="Nimbus Roman No9 L"/>
          <w:sz w:val="32"/>
          <w:szCs w:val="32"/>
          <w:lang w:val="en-US" w:eastAsia="zh-CN"/>
        </w:rPr>
      </w:pPr>
      <w:r>
        <w:rPr>
          <w:rFonts w:hint="default" w:ascii="Nimbus Roman No9 L" w:hAnsi="Nimbus Roman No9 L" w:eastAsia="方正仿宋简体" w:cs="Nimbus Roman No9 L"/>
          <w:sz w:val="32"/>
          <w:szCs w:val="32"/>
          <w:lang w:val="en-US" w:eastAsia="zh-CN"/>
        </w:rPr>
        <w:t>以习近平新时代中国特色社会主义思想为指导，全面贯彻党的二十大、十九大和十九届历次全会精神，</w:t>
      </w:r>
      <w:r>
        <w:rPr>
          <w:rFonts w:hint="eastAsia" w:ascii="Nimbus Roman No9 L" w:hAnsi="Nimbus Roman No9 L" w:eastAsia="方正仿宋简体" w:cs="Nimbus Roman No9 L"/>
          <w:sz w:val="32"/>
          <w:szCs w:val="32"/>
          <w:lang w:val="en-US" w:eastAsia="zh-CN"/>
        </w:rPr>
        <w:t>深入贯彻习近平总书记对广东系列重要讲话和重要指示批示精神以及对交通运输工作的重要指示批示精神，</w:t>
      </w:r>
      <w:r>
        <w:rPr>
          <w:rFonts w:hint="default" w:ascii="Nimbus Roman No9 L" w:hAnsi="Nimbus Roman No9 L" w:eastAsia="方正仿宋简体" w:cs="Nimbus Roman No9 L"/>
          <w:sz w:val="32"/>
          <w:szCs w:val="32"/>
          <w:lang w:val="en-US" w:eastAsia="zh-CN"/>
        </w:rPr>
        <w:t>统筹推进</w:t>
      </w:r>
      <w:r>
        <w:rPr>
          <w:rFonts w:hint="eastAsia" w:ascii="Nimbus Roman No9 L" w:hAnsi="Nimbus Roman No9 L" w:eastAsia="方正仿宋简体" w:cs="Nimbus Roman No9 L"/>
          <w:sz w:val="32"/>
          <w:szCs w:val="32"/>
          <w:lang w:val="en-US" w:eastAsia="zh-CN"/>
        </w:rPr>
        <w:t>“</w:t>
      </w:r>
      <w:r>
        <w:rPr>
          <w:rFonts w:hint="default" w:ascii="Nimbus Roman No9 L" w:hAnsi="Nimbus Roman No9 L" w:eastAsia="方正仿宋简体" w:cs="Nimbus Roman No9 L"/>
          <w:sz w:val="32"/>
          <w:szCs w:val="32"/>
          <w:lang w:val="en-US" w:eastAsia="zh-CN"/>
        </w:rPr>
        <w:t>五位一体</w:t>
      </w:r>
      <w:r>
        <w:rPr>
          <w:rFonts w:hint="eastAsia" w:ascii="Nimbus Roman No9 L" w:hAnsi="Nimbus Roman No9 L" w:eastAsia="方正仿宋简体" w:cs="Nimbus Roman No9 L"/>
          <w:sz w:val="32"/>
          <w:szCs w:val="32"/>
          <w:lang w:val="en-US" w:eastAsia="zh-CN"/>
        </w:rPr>
        <w:t>”</w:t>
      </w:r>
      <w:r>
        <w:rPr>
          <w:rFonts w:hint="default" w:ascii="Nimbus Roman No9 L" w:hAnsi="Nimbus Roman No9 L" w:eastAsia="方正仿宋简体" w:cs="Nimbus Roman No9 L"/>
          <w:sz w:val="32"/>
          <w:szCs w:val="32"/>
          <w:lang w:val="en-US" w:eastAsia="zh-CN"/>
        </w:rPr>
        <w:t>总体布局，协调推进</w:t>
      </w:r>
      <w:r>
        <w:rPr>
          <w:rFonts w:hint="eastAsia" w:ascii="Nimbus Roman No9 L" w:hAnsi="Nimbus Roman No9 L" w:eastAsia="方正仿宋简体" w:cs="Nimbus Roman No9 L"/>
          <w:sz w:val="32"/>
          <w:szCs w:val="32"/>
          <w:lang w:val="en-US" w:eastAsia="zh-CN"/>
        </w:rPr>
        <w:t>“</w:t>
      </w:r>
      <w:r>
        <w:rPr>
          <w:rFonts w:hint="default" w:ascii="Nimbus Roman No9 L" w:hAnsi="Nimbus Roman No9 L" w:eastAsia="方正仿宋简体" w:cs="Nimbus Roman No9 L"/>
          <w:sz w:val="32"/>
          <w:szCs w:val="32"/>
          <w:lang w:val="en-US" w:eastAsia="zh-CN"/>
        </w:rPr>
        <w:t>四个全面</w:t>
      </w:r>
      <w:r>
        <w:rPr>
          <w:rFonts w:hint="eastAsia" w:ascii="Nimbus Roman No9 L" w:hAnsi="Nimbus Roman No9 L" w:eastAsia="方正仿宋简体" w:cs="Nimbus Roman No9 L"/>
          <w:sz w:val="32"/>
          <w:szCs w:val="32"/>
          <w:lang w:val="en-US" w:eastAsia="zh-CN"/>
        </w:rPr>
        <w:t>”</w:t>
      </w:r>
      <w:r>
        <w:rPr>
          <w:rFonts w:hint="default" w:ascii="Nimbus Roman No9 L" w:hAnsi="Nimbus Roman No9 L" w:eastAsia="方正仿宋简体" w:cs="Nimbus Roman No9 L"/>
          <w:sz w:val="32"/>
          <w:szCs w:val="32"/>
          <w:lang w:val="en-US" w:eastAsia="zh-CN"/>
        </w:rPr>
        <w:t>战略布局，坚持新发展理念，坚持高质量发展，坚持以</w:t>
      </w:r>
      <w:r>
        <w:rPr>
          <w:rFonts w:hint="eastAsia" w:ascii="Nimbus Roman No9 L" w:hAnsi="Nimbus Roman No9 L" w:eastAsia="方正仿宋简体" w:cs="Nimbus Roman No9 L"/>
          <w:sz w:val="32"/>
          <w:szCs w:val="32"/>
          <w:lang w:val="en-US" w:eastAsia="zh-CN"/>
        </w:rPr>
        <w:t>新旧动能转换</w:t>
      </w:r>
      <w:r>
        <w:rPr>
          <w:rFonts w:hint="default" w:ascii="Nimbus Roman No9 L" w:hAnsi="Nimbus Roman No9 L" w:eastAsia="方正仿宋简体" w:cs="Nimbus Roman No9 L"/>
          <w:sz w:val="32"/>
          <w:szCs w:val="32"/>
          <w:lang w:val="en-US" w:eastAsia="zh-CN"/>
        </w:rPr>
        <w:t>为主线，坚持以人民为中心的发展思想，坚持深化市场化改革、扩大高水平开放，</w:t>
      </w:r>
      <w:r>
        <w:rPr>
          <w:rFonts w:hint="eastAsia" w:ascii="Nimbus Roman No9 L" w:hAnsi="Nimbus Roman No9 L" w:eastAsia="方正仿宋简体" w:cs="Nimbus Roman No9 L"/>
          <w:sz w:val="32"/>
          <w:szCs w:val="32"/>
          <w:lang w:val="en-US" w:eastAsia="zh-CN"/>
        </w:rPr>
        <w:t>贯彻</w:t>
      </w:r>
      <w:r>
        <w:rPr>
          <w:rFonts w:hint="default" w:ascii="Nimbus Roman No9 L" w:hAnsi="Nimbus Roman No9 L" w:eastAsia="方正仿宋简体" w:cs="Nimbus Roman No9 L"/>
          <w:sz w:val="32"/>
          <w:szCs w:val="32"/>
          <w:lang w:val="en-US" w:eastAsia="zh-CN"/>
        </w:rPr>
        <w:t>落实交通强国建设</w:t>
      </w:r>
      <w:r>
        <w:rPr>
          <w:rFonts w:hint="eastAsia" w:ascii="Nimbus Roman No9 L" w:hAnsi="Nimbus Roman No9 L" w:eastAsia="方正仿宋简体" w:cs="Nimbus Roman No9 L"/>
          <w:sz w:val="32"/>
          <w:szCs w:val="32"/>
          <w:lang w:val="en-US" w:eastAsia="zh-CN"/>
        </w:rPr>
        <w:t>战略</w:t>
      </w:r>
      <w:r>
        <w:rPr>
          <w:rFonts w:hint="default" w:ascii="Nimbus Roman No9 L" w:hAnsi="Nimbus Roman No9 L" w:eastAsia="方正仿宋简体" w:cs="Nimbus Roman No9 L"/>
          <w:sz w:val="32"/>
          <w:szCs w:val="32"/>
          <w:lang w:val="en-US" w:eastAsia="zh-CN"/>
        </w:rPr>
        <w:t>部署</w:t>
      </w:r>
      <w:r>
        <w:rPr>
          <w:rFonts w:hint="eastAsia" w:ascii="Nimbus Roman No9 L" w:hAnsi="Nimbus Roman No9 L" w:eastAsia="方正仿宋简体" w:cs="Nimbus Roman No9 L"/>
          <w:sz w:val="32"/>
          <w:szCs w:val="32"/>
          <w:lang w:val="en-US" w:eastAsia="zh-CN"/>
        </w:rPr>
        <w:t>。</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both"/>
        <w:textAlignment w:val="baseline"/>
        <w:rPr>
          <w:rFonts w:hint="eastAsia" w:ascii="Nimbus Roman No9 L" w:hAnsi="Nimbus Roman No9 L" w:eastAsia="方正仿宋简体" w:cs="Nimbus Roman No9 L"/>
          <w:sz w:val="32"/>
          <w:szCs w:val="32"/>
          <w:lang w:val="en-US" w:eastAsia="zh-CN"/>
        </w:rPr>
      </w:pPr>
      <w:r>
        <w:rPr>
          <w:rFonts w:hint="eastAsia" w:ascii="Nimbus Roman No9 L" w:hAnsi="Nimbus Roman No9 L" w:eastAsia="方正仿宋简体" w:cs="Nimbus Roman No9 L"/>
          <w:sz w:val="32"/>
          <w:szCs w:val="32"/>
          <w:lang w:val="en-US" w:eastAsia="zh-CN"/>
        </w:rPr>
        <w:t>交通运输是基础性、先导性、战略性产业和服务性行业，是经济社会发展的先行官。要坚决贯彻落实党中央、国务院决策部署，坚持目标导向、问题导向、结果导向，加强政策体系顶层设计，牢牢把握供给侧结构性改革这条主线，围绕打赢三大攻坚战、服务国家战略、促进经济发展和维护社会稳定等尽快出台一批管用有效的政策，打出政策“组合拳”。同时也要着眼长远，围绕交通强国建设着力推动政策创新，出台支持交通运输高质量发展的好政策，不断丰富政策工具箱，切实做到有备无患。</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仿宋简体" w:cs="Nimbus Roman No9 L"/>
          <w:sz w:val="32"/>
          <w:szCs w:val="32"/>
          <w:lang w:val="en-US" w:eastAsia="zh-CN"/>
        </w:rPr>
      </w:pPr>
      <w:r>
        <w:rPr>
          <w:rFonts w:hint="eastAsia" w:ascii="Nimbus Roman No9 L" w:hAnsi="Nimbus Roman No9 L" w:eastAsia="方正仿宋简体" w:cs="Nimbus Roman No9 L"/>
          <w:sz w:val="32"/>
          <w:szCs w:val="32"/>
          <w:lang w:val="en-US" w:eastAsia="zh-CN"/>
        </w:rPr>
        <w:t>1.1.1坚持可持续发展思想</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仿宋简体" w:cs="Nimbus Roman No9 L"/>
          <w:color w:val="000000" w:themeColor="text1"/>
          <w:sz w:val="32"/>
          <w:szCs w:val="32"/>
          <w:lang w:val="en-US" w:eastAsia="zh-CN"/>
          <w14:textFill>
            <w14:solidFill>
              <w14:schemeClr w14:val="tx1"/>
            </w14:solidFill>
          </w14:textFill>
        </w:rPr>
      </w:pPr>
      <w:r>
        <w:rPr>
          <w:rFonts w:hint="eastAsia" w:ascii="Nimbus Roman No9 L" w:hAnsi="Nimbus Roman No9 L" w:eastAsia="方正仿宋简体" w:cs="Nimbus Roman No9 L"/>
          <w:color w:val="000000" w:themeColor="text1"/>
          <w:sz w:val="32"/>
          <w:szCs w:val="32"/>
          <w:lang w:val="en-US" w:eastAsia="zh-CN"/>
          <w14:textFill>
            <w14:solidFill>
              <w14:schemeClr w14:val="tx1"/>
            </w14:solidFill>
          </w14:textFill>
        </w:rPr>
        <w:t>平远县属原中央苏区县，资源型产业占绝对比重。且平远县地处韩江上游，为减少污染和保护自身环境，需对产业的发展方向进行科学、合理定位，使经济发展和生态环境保护合而为一。</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仿宋简体" w:cs="Nimbus Roman No9 L"/>
          <w:sz w:val="32"/>
          <w:szCs w:val="32"/>
          <w:lang w:val="en-US" w:eastAsia="zh-CN"/>
        </w:rPr>
      </w:pPr>
      <w:r>
        <w:rPr>
          <w:rFonts w:hint="eastAsia" w:ascii="Nimbus Roman No9 L" w:hAnsi="Nimbus Roman No9 L" w:eastAsia="方正仿宋简体" w:cs="Nimbus Roman No9 L"/>
          <w:sz w:val="32"/>
          <w:szCs w:val="32"/>
          <w:lang w:val="en-US" w:eastAsia="zh-CN"/>
        </w:rPr>
        <w:t>1.1.2坚持推动经济发展的思想</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仿宋简体" w:cs="Nimbus Roman No9 L"/>
          <w:sz w:val="32"/>
          <w:szCs w:val="32"/>
          <w:lang w:val="en-US" w:eastAsia="zh-CN"/>
        </w:rPr>
      </w:pPr>
      <w:r>
        <w:rPr>
          <w:rFonts w:hint="eastAsia" w:ascii="Nimbus Roman No9 L" w:hAnsi="Nimbus Roman No9 L" w:eastAsia="方正仿宋简体" w:cs="Nimbus Roman No9 L"/>
          <w:sz w:val="32"/>
          <w:szCs w:val="32"/>
          <w:lang w:val="en-US" w:eastAsia="zh-CN"/>
        </w:rPr>
        <w:t>通过对经济发展历史和现状的详细、系统分析，把握住经济发展的脉搏，科学、准确地规划产业发展方向。在把握平远县城镇空间结构演化历史过程的基础上，根据平远县和各镇经济发展现状</w:t>
      </w:r>
      <w:r>
        <w:rPr>
          <w:rFonts w:hint="eastAsia" w:ascii="Nimbus Roman No9 L" w:hAnsi="Nimbus Roman No9 L" w:eastAsia="方正仿宋简体" w:cs="Nimbus Roman No9 L"/>
          <w:color w:val="000000" w:themeColor="text1"/>
          <w:sz w:val="32"/>
          <w:szCs w:val="32"/>
          <w:lang w:val="en-US" w:eastAsia="zh-CN"/>
          <w14:textFill>
            <w14:solidFill>
              <w14:schemeClr w14:val="tx1"/>
            </w14:solidFill>
          </w14:textFill>
        </w:rPr>
        <w:t>，进一步强化各镇产业之间的分工与协作，将各镇组织为一个有机整体，从</w:t>
      </w:r>
      <w:r>
        <w:rPr>
          <w:rFonts w:hint="eastAsia" w:ascii="Nimbus Roman No9 L" w:hAnsi="Nimbus Roman No9 L" w:eastAsia="方正仿宋简体" w:cs="Nimbus Roman No9 L"/>
          <w:sz w:val="32"/>
          <w:szCs w:val="32"/>
          <w:lang w:val="en-US" w:eastAsia="zh-CN"/>
        </w:rPr>
        <w:t>而形成整体竞争优势，推动地方经济快速发展。</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仿宋简体" w:cs="Nimbus Roman No9 L"/>
          <w:sz w:val="32"/>
          <w:szCs w:val="32"/>
          <w:lang w:val="en-US" w:eastAsia="zh-CN"/>
        </w:rPr>
      </w:pPr>
      <w:r>
        <w:rPr>
          <w:rFonts w:hint="eastAsia" w:ascii="Nimbus Roman No9 L" w:hAnsi="Nimbus Roman No9 L" w:eastAsia="方正仿宋简体" w:cs="Nimbus Roman No9 L"/>
          <w:sz w:val="32"/>
          <w:szCs w:val="32"/>
          <w:lang w:val="en-US" w:eastAsia="zh-CN"/>
        </w:rPr>
        <w:t>1.1.3突出地方特色和发挥地方优势思想</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仿宋简体" w:cs="Nimbus Roman No9 L"/>
          <w:sz w:val="32"/>
          <w:szCs w:val="32"/>
          <w:lang w:val="en-US" w:eastAsia="zh-CN"/>
        </w:rPr>
      </w:pPr>
      <w:r>
        <w:rPr>
          <w:rFonts w:hint="eastAsia" w:ascii="Nimbus Roman No9 L" w:hAnsi="Nimbus Roman No9 L" w:eastAsia="方正仿宋简体" w:cs="Nimbus Roman No9 L"/>
          <w:sz w:val="32"/>
          <w:szCs w:val="32"/>
          <w:lang w:val="en-US" w:eastAsia="zh-CN"/>
        </w:rPr>
        <w:t>特色就是生产力，把握住地方特色就等于把握了经济发展的最优途径。特色存在于地区比较优势中，从各镇的比较优势和未来潜力入手，确定各镇之间的职能分工，使各镇形成优势互补、互联互动的职能体系。</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仿宋简体" w:cs="Nimbus Roman No9 L"/>
          <w:sz w:val="32"/>
          <w:szCs w:val="32"/>
          <w:lang w:val="en-US" w:eastAsia="zh-CN"/>
        </w:rPr>
      </w:pPr>
      <w:r>
        <w:rPr>
          <w:rFonts w:hint="eastAsia" w:ascii="Nimbus Roman No9 L" w:hAnsi="Nimbus Roman No9 L" w:eastAsia="方正仿宋简体" w:cs="Nimbus Roman No9 L"/>
          <w:sz w:val="32"/>
          <w:szCs w:val="32"/>
          <w:lang w:val="en-US" w:eastAsia="zh-CN"/>
        </w:rPr>
        <w:t>1.1.4立足现实、面向未来、统筹兼顾、综合部署思想</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仿宋简体" w:cs="Nimbus Roman No9 L"/>
          <w:sz w:val="32"/>
          <w:szCs w:val="32"/>
          <w:lang w:val="en-US" w:eastAsia="zh-CN"/>
        </w:rPr>
      </w:pPr>
      <w:r>
        <w:rPr>
          <w:rFonts w:hint="eastAsia" w:ascii="Nimbus Roman No9 L" w:hAnsi="Nimbus Roman No9 L" w:eastAsia="方正仿宋简体" w:cs="Nimbus Roman No9 L"/>
          <w:sz w:val="32"/>
          <w:szCs w:val="32"/>
          <w:lang w:val="en-US" w:eastAsia="zh-CN"/>
        </w:rPr>
        <w:t>规划针对未来，必须要有超前意识，但这种超前意识是建立在现实的基础之上。因此，规划应从实际出发，使规划牢牢地建立在现实的根基之上。此外，总体规划是一项系统工程，涉及面广，各要素之间关系复杂，城镇体系规划要统筹兼顾、综合部署，做到局部与整体相结合，生产与生活相结合，远近期相结合，使各项建设事业的发展均衡得当，全面提升城镇综合服务功能。</w:t>
      </w:r>
    </w:p>
    <w:p>
      <w:pPr>
        <w:pStyle w:val="4"/>
        <w:keepNext w:val="0"/>
        <w:keepLines w:val="0"/>
        <w:pageBreakBefore w:val="0"/>
        <w:widowControl w:val="0"/>
        <w:kinsoku/>
        <w:wordWrap/>
        <w:topLinePunct w:val="0"/>
        <w:autoSpaceDE/>
        <w:autoSpaceDN/>
        <w:bidi w:val="0"/>
        <w:adjustRightInd/>
        <w:snapToGrid/>
        <w:spacing w:line="560" w:lineRule="exact"/>
        <w:ind w:firstLine="640" w:firstLineChars="200"/>
        <w:rPr>
          <w:rFonts w:hint="default" w:ascii="Nimbus Roman No9 L" w:hAnsi="Nimbus Roman No9 L" w:eastAsia="方正楷体_GBK" w:cs="Nimbus Roman No9 L"/>
          <w:b w:val="0"/>
          <w:bCs/>
          <w:color w:val="auto"/>
          <w:sz w:val="32"/>
          <w:szCs w:val="32"/>
        </w:rPr>
      </w:pPr>
      <w:bookmarkStart w:id="3" w:name="_Toc14945"/>
      <w:r>
        <w:rPr>
          <w:rFonts w:hint="default" w:ascii="Nimbus Roman No9 L" w:hAnsi="Nimbus Roman No9 L" w:eastAsia="方正楷体_GBK" w:cs="Nimbus Roman No9 L"/>
          <w:b w:val="0"/>
          <w:bCs/>
          <w:color w:val="auto"/>
          <w:sz w:val="32"/>
          <w:szCs w:val="32"/>
        </w:rPr>
        <w:t>1.2政策依据</w:t>
      </w:r>
      <w:bookmarkEnd w:id="3"/>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仿宋简体" w:cs="Nimbus Roman No9 L"/>
          <w:sz w:val="32"/>
          <w:szCs w:val="32"/>
          <w:lang w:val="en-US" w:eastAsia="zh-CN"/>
        </w:rPr>
      </w:pPr>
      <w:r>
        <w:rPr>
          <w:rFonts w:hint="eastAsia" w:ascii="Nimbus Roman No9 L" w:hAnsi="Nimbus Roman No9 L" w:eastAsia="方正仿宋简体" w:cs="Nimbus Roman No9 L"/>
          <w:sz w:val="32"/>
          <w:szCs w:val="32"/>
          <w:lang w:val="en-US" w:eastAsia="zh-CN"/>
        </w:rPr>
        <w:t>“十四五”时期是我国开启全面建设社会主义现代化国家新征程的第一个五年，是我国转变发展方式、优化经济结构、转换增长动力的关键时期。建设交通强国是以习近平同志为核心的党中央立足国情、着眼全局、面向未来作出的重大战略决策，是建设现代化经济体系的先行领域，是全面建成社会主义现代化强国的重要支撑，是新时代做好交通工作的总抓手。同时，中共中央 国务院印发的《交通强国建设纲要》要求要形成现代化综合交通体系，提高人民满意度，支撑国家现代化建设能力，建设发达的快速网、完善的干线网、广泛的基础网，城乡区域交通协调发展达到新高度；旅客联程运输便捷顺畅，货物多式联运高效经济；智能、平安、绿色、共享交通发展水平明显提高，城市交通拥堵基本缓解，无障碍出行服务体系基本完善；基本实现交通治理体系和治理能力现代化；交通服务水平和影响力显著提升。</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Nimbus Roman No9 L" w:hAnsi="Nimbus Roman No9 L" w:eastAsia="方正楷体_GBK" w:cs="Nimbus Roman No9 L"/>
          <w:b w:val="0"/>
          <w:bCs/>
          <w:color w:val="auto"/>
          <w:kern w:val="2"/>
          <w:sz w:val="32"/>
          <w:szCs w:val="32"/>
          <w:lang w:val="en-US" w:eastAsia="zh-CN" w:bidi="ar-SA"/>
        </w:rPr>
      </w:pPr>
      <w:bookmarkStart w:id="4" w:name="_Toc30196"/>
      <w:r>
        <w:rPr>
          <w:rFonts w:hint="eastAsia" w:ascii="Nimbus Roman No9 L" w:hAnsi="Nimbus Roman No9 L" w:eastAsia="方正楷体_GBK" w:cs="Nimbus Roman No9 L"/>
          <w:b w:val="0"/>
          <w:bCs/>
          <w:color w:val="auto"/>
          <w:kern w:val="2"/>
          <w:sz w:val="32"/>
          <w:szCs w:val="32"/>
          <w:lang w:val="en-US" w:eastAsia="zh-CN" w:bidi="ar-SA"/>
        </w:rPr>
        <w:t>1.3基本原则</w:t>
      </w:r>
      <w:bookmarkEnd w:id="4"/>
    </w:p>
    <w:p>
      <w:pPr>
        <w:pStyle w:val="5"/>
        <w:pageBreakBefore w:val="0"/>
        <w:kinsoku/>
        <w:wordWrap/>
        <w:topLinePunct w:val="0"/>
        <w:autoSpaceDE/>
        <w:autoSpaceDN/>
        <w:bidi w:val="0"/>
        <w:adjustRightInd/>
        <w:snapToGrid/>
        <w:spacing w:line="560" w:lineRule="exact"/>
        <w:ind w:firstLine="640" w:firstLineChars="2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1.3.1全局统筹原则</w:t>
      </w:r>
    </w:p>
    <w:p>
      <w:pPr>
        <w:pageBreakBefore w:val="0"/>
        <w:kinsoku/>
        <w:wordWrap/>
        <w:topLinePunct w:val="0"/>
        <w:autoSpaceDE/>
        <w:autoSpaceDN/>
        <w:bidi w:val="0"/>
        <w:adjustRightInd/>
        <w:snapToGrid/>
        <w:spacing w:line="560" w:lineRule="exact"/>
        <w:ind w:firstLine="6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综合运输体系规划，不仅立足于交通运输行业自身发展，还应与国家、全省、全市交通网络布局相衔接，注重研究区域格局变化、产业发展对综合运输的影响，协调城市与区域发展，满足经济发展、土地利用、资源开发和环境保护等全局性要求。</w:t>
      </w:r>
    </w:p>
    <w:p>
      <w:pPr>
        <w:pStyle w:val="5"/>
        <w:pageBreakBefore w:val="0"/>
        <w:kinsoku/>
        <w:wordWrap/>
        <w:topLinePunct w:val="0"/>
        <w:autoSpaceDE/>
        <w:autoSpaceDN/>
        <w:bidi w:val="0"/>
        <w:adjustRightInd/>
        <w:snapToGrid/>
        <w:spacing w:line="560" w:lineRule="exact"/>
        <w:ind w:firstLine="640" w:firstLineChars="2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1.3.2适度超前原则</w:t>
      </w:r>
    </w:p>
    <w:p>
      <w:pPr>
        <w:pageBreakBefore w:val="0"/>
        <w:kinsoku/>
        <w:wordWrap/>
        <w:topLinePunct w:val="0"/>
        <w:autoSpaceDE/>
        <w:autoSpaceDN/>
        <w:bidi w:val="0"/>
        <w:adjustRightInd/>
        <w:snapToGrid/>
        <w:spacing w:line="560" w:lineRule="exact"/>
        <w:ind w:firstLine="6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充分研究未来平远县经济社会发展趋势，使综合交通运输的建设规模和发展速度适度领先经济社会发展的需求，充分发挥交通运输网络布局对城市空间格局的指引作用，满足区域一体化的需要，努力促进交通发展与财政收入、政府债务相协调，与产业升级和城镇化推进相协调。</w:t>
      </w:r>
    </w:p>
    <w:p>
      <w:pPr>
        <w:pStyle w:val="5"/>
        <w:pageBreakBefore w:val="0"/>
        <w:kinsoku/>
        <w:wordWrap/>
        <w:topLinePunct w:val="0"/>
        <w:autoSpaceDE/>
        <w:autoSpaceDN/>
        <w:bidi w:val="0"/>
        <w:adjustRightInd/>
        <w:snapToGrid/>
        <w:spacing w:line="560" w:lineRule="exact"/>
        <w:ind w:firstLine="640" w:firstLineChars="2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1.3.3协调发展原则</w:t>
      </w:r>
    </w:p>
    <w:p>
      <w:pPr>
        <w:pageBreakBefore w:val="0"/>
        <w:kinsoku/>
        <w:wordWrap/>
        <w:topLinePunct w:val="0"/>
        <w:autoSpaceDE/>
        <w:autoSpaceDN/>
        <w:bidi w:val="0"/>
        <w:adjustRightInd/>
        <w:snapToGrid/>
        <w:spacing w:line="560" w:lineRule="exact"/>
        <w:ind w:firstLine="6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各种运输方式有其自身的技术经济特点、运输属性和经济使用范围，应协调好综合交通运输内部各运输方式之间的关系，统筹各种运输方式之间的协调发展，充分发挥各种运输方式之间的比较优势和组合效率，实现各运输方式之间的衔接配合，形成结构布局合理的综合交通运输网络，高效发挥综合交通运输的整体功能。</w:t>
      </w:r>
    </w:p>
    <w:p>
      <w:pPr>
        <w:pStyle w:val="5"/>
        <w:pageBreakBefore w:val="0"/>
        <w:kinsoku/>
        <w:wordWrap/>
        <w:topLinePunct w:val="0"/>
        <w:autoSpaceDE/>
        <w:autoSpaceDN/>
        <w:bidi w:val="0"/>
        <w:adjustRightInd/>
        <w:snapToGrid/>
        <w:spacing w:line="560" w:lineRule="exact"/>
        <w:ind w:firstLine="640" w:firstLineChars="2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1.3.4绿色发展原则</w:t>
      </w:r>
    </w:p>
    <w:p>
      <w:pPr>
        <w:pageBreakBefore w:val="0"/>
        <w:kinsoku/>
        <w:wordWrap/>
        <w:topLinePunct w:val="0"/>
        <w:autoSpaceDE/>
        <w:autoSpaceDN/>
        <w:bidi w:val="0"/>
        <w:adjustRightInd/>
        <w:snapToGrid/>
        <w:spacing w:line="560" w:lineRule="exact"/>
        <w:ind w:firstLine="6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坚持节能绿色环保、节能减排的规划理念，努力发展低碳交通运输体系。把建设资源节约型、环境友好型社会作为加快转变平远县发展方式的重要着力点，加强环境保护，发展低碳循环经济，倡导绿色出行，全面构建平远县经济效益与生态效益有机统一的综合交通运输可持续发展的新格局。</w:t>
      </w:r>
    </w:p>
    <w:p>
      <w:pPr>
        <w:pStyle w:val="5"/>
        <w:pageBreakBefore w:val="0"/>
        <w:kinsoku/>
        <w:wordWrap/>
        <w:topLinePunct w:val="0"/>
        <w:autoSpaceDE/>
        <w:autoSpaceDN/>
        <w:bidi w:val="0"/>
        <w:adjustRightInd/>
        <w:snapToGrid/>
        <w:spacing w:line="560" w:lineRule="exact"/>
        <w:ind w:firstLine="640" w:firstLineChars="2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1.3.5实施可行性原则</w:t>
      </w:r>
    </w:p>
    <w:p>
      <w:pPr>
        <w:pageBreakBefore w:val="0"/>
        <w:kinsoku/>
        <w:wordWrap/>
        <w:topLinePunct w:val="0"/>
        <w:autoSpaceDE/>
        <w:autoSpaceDN/>
        <w:bidi w:val="0"/>
        <w:adjustRightInd/>
        <w:snapToGrid/>
        <w:spacing w:line="560" w:lineRule="exact"/>
        <w:ind w:firstLine="6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充分考虑平远县经济社会发展及综合交通体系现状，考虑环境、土地以及资金等限制因素，提出立足于平远县实际发展需要且操作性强的规划方案，合理安排项目实施进度，顺利推进各工程项目的实施。</w:t>
      </w:r>
    </w:p>
    <w:p>
      <w:pPr>
        <w:pStyle w:val="4"/>
        <w:pageBreakBefore w:val="0"/>
        <w:kinsoku/>
        <w:wordWrap/>
        <w:topLinePunct w:val="0"/>
        <w:autoSpaceDE/>
        <w:autoSpaceDN/>
        <w:bidi w:val="0"/>
        <w:adjustRightInd/>
        <w:snapToGrid/>
        <w:spacing w:line="560" w:lineRule="exact"/>
        <w:ind w:firstLine="640" w:firstLineChars="200"/>
        <w:rPr>
          <w:rFonts w:hint="eastAsia" w:ascii="Nimbus Roman No9 L" w:hAnsi="Nimbus Roman No9 L" w:eastAsia="方正楷体_GBK" w:cs="Nimbus Roman No9 L"/>
          <w:b w:val="0"/>
          <w:bCs/>
          <w:color w:val="auto"/>
          <w:kern w:val="2"/>
          <w:sz w:val="32"/>
          <w:szCs w:val="32"/>
          <w:lang w:val="en-US" w:eastAsia="zh-CN" w:bidi="ar-SA"/>
        </w:rPr>
      </w:pPr>
      <w:bookmarkStart w:id="5" w:name="_Toc12294"/>
      <w:r>
        <w:rPr>
          <w:rFonts w:hint="eastAsia" w:ascii="Nimbus Roman No9 L" w:hAnsi="Nimbus Roman No9 L" w:eastAsia="方正楷体_GBK" w:cs="Nimbus Roman No9 L"/>
          <w:b w:val="0"/>
          <w:bCs/>
          <w:color w:val="auto"/>
          <w:kern w:val="2"/>
          <w:sz w:val="32"/>
          <w:szCs w:val="32"/>
          <w:lang w:val="en-US" w:eastAsia="zh-CN" w:bidi="ar-SA"/>
        </w:rPr>
        <w:t>1.4规划范围与期限</w:t>
      </w:r>
      <w:bookmarkEnd w:id="5"/>
    </w:p>
    <w:p>
      <w:pPr>
        <w:pageBreakBefore w:val="0"/>
        <w:kinsoku/>
        <w:wordWrap/>
        <w:topLinePunct w:val="0"/>
        <w:autoSpaceDE/>
        <w:autoSpaceDN/>
        <w:bidi w:val="0"/>
        <w:adjustRightInd/>
        <w:snapToGrid/>
        <w:spacing w:line="560" w:lineRule="exact"/>
        <w:ind w:firstLine="6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（1）规划范围：</w:t>
      </w:r>
      <w:bookmarkStart w:id="6" w:name="_Toc232853981"/>
      <w:r>
        <w:rPr>
          <w:rFonts w:hint="eastAsia" w:ascii="Nimbus Roman No9 L" w:hAnsi="Nimbus Roman No9 L" w:eastAsia="方正仿宋简体" w:cs="Nimbus Roman No9 L"/>
          <w:b w:val="0"/>
          <w:bCs w:val="0"/>
          <w:kern w:val="2"/>
          <w:sz w:val="32"/>
          <w:szCs w:val="32"/>
          <w:lang w:val="en-US" w:eastAsia="zh-CN" w:bidi="ar-SA"/>
        </w:rPr>
        <w:t>平远县县域范围，共1381平方公里，辖大柘镇、仁居镇、东石镇、石正镇、八尺镇、差干镇、上举镇、泗水镇、长田镇、热柘镇、中行镇、河头镇12个镇。</w:t>
      </w:r>
      <w:bookmarkEnd w:id="6"/>
    </w:p>
    <w:p>
      <w:pPr>
        <w:pageBreakBefore w:val="0"/>
        <w:kinsoku/>
        <w:wordWrap/>
        <w:topLinePunct w:val="0"/>
        <w:autoSpaceDE/>
        <w:autoSpaceDN/>
        <w:bidi w:val="0"/>
        <w:adjustRightInd/>
        <w:snapToGrid/>
        <w:spacing w:line="560" w:lineRule="exact"/>
        <w:ind w:firstLine="6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（2）规划基年：2020年。</w:t>
      </w:r>
    </w:p>
    <w:p>
      <w:pPr>
        <w:pageBreakBefore w:val="0"/>
        <w:kinsoku/>
        <w:wordWrap/>
        <w:topLinePunct w:val="0"/>
        <w:autoSpaceDE/>
        <w:autoSpaceDN/>
        <w:bidi w:val="0"/>
        <w:adjustRightInd/>
        <w:snapToGrid/>
        <w:spacing w:line="560" w:lineRule="exact"/>
        <w:ind w:firstLine="6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（3）规划期：2021—2025年。</w:t>
      </w:r>
    </w:p>
    <w:p>
      <w:pPr>
        <w:pageBreakBefore w:val="0"/>
        <w:kinsoku/>
        <w:wordWrap/>
        <w:topLinePunct w:val="0"/>
        <w:autoSpaceDE/>
        <w:autoSpaceDN/>
        <w:bidi w:val="0"/>
        <w:adjustRightInd/>
        <w:snapToGrid/>
        <w:spacing w:line="560" w:lineRule="exact"/>
        <w:ind w:firstLine="600"/>
        <w:rPr>
          <w:rFonts w:hint="eastAsia" w:ascii="Nimbus Roman No9 L" w:hAnsi="Nimbus Roman No9 L" w:eastAsia="方正仿宋简体" w:cs="Nimbus Roman No9 L"/>
          <w:b w:val="0"/>
          <w:bCs w:val="0"/>
          <w:kern w:val="2"/>
          <w:sz w:val="32"/>
          <w:szCs w:val="32"/>
          <w:lang w:val="en-US" w:eastAsia="zh-CN" w:bidi="ar-SA"/>
        </w:rPr>
      </w:pPr>
      <w:r>
        <w:rPr>
          <w:rFonts w:hint="eastAsia" w:ascii="Nimbus Roman No9 L" w:hAnsi="Nimbus Roman No9 L" w:eastAsia="方正仿宋简体" w:cs="Nimbus Roman No9 L"/>
          <w:b w:val="0"/>
          <w:bCs w:val="0"/>
          <w:kern w:val="2"/>
          <w:sz w:val="32"/>
          <w:szCs w:val="32"/>
          <w:lang w:val="en-US" w:eastAsia="zh-CN" w:bidi="ar-SA"/>
        </w:rPr>
        <w:t>（4）内容范围：交通基础设施规划（铁路、航空、高速公路、普通国省公路、农村公路等）和运输服务规划（公路客运、城市客运、农村客运和邮政物流等）等方面，“十四五”规划布局如图1-1所示。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
          <w:color w:val="auto"/>
          <w:szCs w:val="24"/>
          <w:lang w:eastAsia="zh-CN"/>
        </w:rPr>
      </w:pPr>
      <w:r>
        <w:rPr>
          <w:rFonts w:hint="eastAsia" w:eastAsia="仿宋"/>
          <w:color w:val="auto"/>
          <w:szCs w:val="24"/>
          <w:lang w:eastAsia="zh-CN"/>
        </w:rPr>
        <w:drawing>
          <wp:inline distT="0" distB="0" distL="114300" distR="114300">
            <wp:extent cx="3528695" cy="4705985"/>
            <wp:effectExtent l="0" t="0" r="14605" b="18415"/>
            <wp:docPr id="16" name="图片 16" descr="D:\2022年项目\2022广东平远十四五交通规划\0325修改稿\平远V15\5-1.jp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2022年项目\2022广东平远十四五交通规划\0325修改稿\平远V15\5-1.jpg5-1"/>
                    <pic:cNvPicPr>
                      <a:picLocks noChangeAspect="1"/>
                    </pic:cNvPicPr>
                  </pic:nvPicPr>
                  <pic:blipFill>
                    <a:blip r:embed="rId13"/>
                    <a:srcRect/>
                    <a:stretch>
                      <a:fillRect/>
                    </a:stretch>
                  </pic:blipFill>
                  <pic:spPr>
                    <a:xfrm>
                      <a:off x="0" y="0"/>
                      <a:ext cx="3528695" cy="4705985"/>
                    </a:xfrm>
                    <a:prstGeom prst="rect">
                      <a:avLst/>
                    </a:prstGeom>
                  </pic:spPr>
                </pic:pic>
              </a:graphicData>
            </a:graphic>
          </wp:inline>
        </w:drawing>
      </w:r>
    </w:p>
    <w:p>
      <w:pPr>
        <w:pStyle w:val="26"/>
        <w:pageBreakBefore w:val="0"/>
        <w:widowControl w:val="0"/>
        <w:kinsoku/>
        <w:wordWrap/>
        <w:overflowPunct/>
        <w:topLinePunct w:val="0"/>
        <w:autoSpaceDE/>
        <w:autoSpaceDN/>
        <w:bidi w:val="0"/>
        <w:adjustRightInd/>
        <w:snapToGrid/>
        <w:spacing w:line="560" w:lineRule="exact"/>
        <w:textAlignment w:val="auto"/>
        <w:rPr>
          <w:rFonts w:hint="default" w:ascii="Nimbus Roman No9 L" w:hAnsi="Nimbus Roman No9 L" w:eastAsia="方正黑体_GBK" w:cs="Nimbus Roman No9 L"/>
          <w:b w:val="0"/>
          <w:bCs/>
          <w:color w:val="auto"/>
          <w:sz w:val="32"/>
          <w:szCs w:val="32"/>
        </w:rPr>
      </w:pPr>
      <w:r>
        <w:rPr>
          <w:rFonts w:hint="default" w:ascii="Nimbus Roman No9 L" w:hAnsi="Nimbus Roman No9 L" w:eastAsia="方正黑体_GBK" w:cs="Nimbus Roman No9 L"/>
          <w:b w:val="0"/>
          <w:bCs/>
          <w:color w:val="auto"/>
          <w:sz w:val="32"/>
          <w:szCs w:val="32"/>
        </w:rPr>
        <w:t>图1-1</w:t>
      </w:r>
      <w:r>
        <w:rPr>
          <w:rFonts w:hint="default" w:ascii="Nimbus Roman No9 L" w:hAnsi="Nimbus Roman No9 L" w:eastAsia="方正黑体_GBK" w:cs="Nimbus Roman No9 L"/>
          <w:b w:val="0"/>
          <w:bCs/>
          <w:color w:val="auto"/>
          <w:sz w:val="32"/>
          <w:szCs w:val="32"/>
          <w:lang w:val="en-US" w:eastAsia="zh-CN"/>
        </w:rPr>
        <w:t xml:space="preserve">  </w:t>
      </w:r>
      <w:r>
        <w:rPr>
          <w:rFonts w:hint="default" w:ascii="Nimbus Roman No9 L" w:hAnsi="Nimbus Roman No9 L" w:eastAsia="方正黑体_GBK" w:cs="Nimbus Roman No9 L"/>
          <w:b w:val="0"/>
          <w:bCs/>
          <w:color w:val="auto"/>
          <w:sz w:val="32"/>
          <w:szCs w:val="32"/>
        </w:rPr>
        <w:t>平远县</w:t>
      </w:r>
      <w:r>
        <w:rPr>
          <w:rFonts w:hint="eastAsia" w:ascii="Nimbus Roman No9 L" w:hAnsi="Nimbus Roman No9 L" w:eastAsia="方正黑体_GBK" w:cs="Nimbus Roman No9 L"/>
          <w:b w:val="0"/>
          <w:bCs/>
          <w:color w:val="auto"/>
          <w:sz w:val="32"/>
          <w:szCs w:val="32"/>
          <w:lang w:eastAsia="zh-CN"/>
        </w:rPr>
        <w:t>“</w:t>
      </w:r>
      <w:r>
        <w:rPr>
          <w:rFonts w:hint="default" w:ascii="Nimbus Roman No9 L" w:hAnsi="Nimbus Roman No9 L" w:eastAsia="方正黑体_GBK" w:cs="Nimbus Roman No9 L"/>
          <w:b w:val="0"/>
          <w:bCs/>
          <w:color w:val="auto"/>
          <w:sz w:val="32"/>
          <w:szCs w:val="32"/>
        </w:rPr>
        <w:t>十四五</w:t>
      </w:r>
      <w:r>
        <w:rPr>
          <w:rFonts w:hint="eastAsia" w:ascii="Nimbus Roman No9 L" w:hAnsi="Nimbus Roman No9 L" w:eastAsia="方正黑体_GBK" w:cs="Nimbus Roman No9 L"/>
          <w:b w:val="0"/>
          <w:bCs/>
          <w:color w:val="auto"/>
          <w:sz w:val="32"/>
          <w:szCs w:val="32"/>
          <w:lang w:eastAsia="zh-CN"/>
        </w:rPr>
        <w:t>”</w:t>
      </w:r>
      <w:r>
        <w:rPr>
          <w:rFonts w:hint="default" w:ascii="Nimbus Roman No9 L" w:hAnsi="Nimbus Roman No9 L" w:eastAsia="方正黑体_GBK" w:cs="Nimbus Roman No9 L"/>
          <w:b w:val="0"/>
          <w:bCs/>
          <w:color w:val="auto"/>
          <w:sz w:val="32"/>
          <w:szCs w:val="32"/>
        </w:rPr>
        <w:t>综合交通设施布局图</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7" w:name="_Toc7450"/>
      <w:r>
        <w:rPr>
          <w:rFonts w:hint="default" w:ascii="Nimbus Roman No9 L" w:hAnsi="Nimbus Roman No9 L" w:eastAsia="方正楷体_GBK" w:cs="Nimbus Roman No9 L"/>
          <w:b w:val="0"/>
          <w:bCs/>
          <w:color w:val="auto"/>
          <w:sz w:val="32"/>
          <w:szCs w:val="32"/>
        </w:rPr>
        <w:t>1.5总体目标</w:t>
      </w:r>
      <w:bookmarkEnd w:id="7"/>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到2025年，规划建设1条铁路、2个机场、4条高速的骨干综合交通运输体系；构建“十字互通，三纵一横”的快速综合交通运输通道，并继续打造形成“三纵三横一环”的国省干线网络布局结构与节点互联互通、客货运枢纽能力充足且运转顺畅的高效联通网络；构造一个运输服务水平全面提升、行业治理能力全面提级、畅通安全、开放便捷、优质高效、绿色智能的综合交通运输系统。</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8" w:name="_Toc7920"/>
      <w:r>
        <w:rPr>
          <w:rFonts w:hint="eastAsia" w:ascii="Nimbus Roman No9 L" w:hAnsi="Nimbus Roman No9 L" w:eastAsia="方正楷体_GBK" w:cs="Nimbus Roman No9 L"/>
          <w:b w:val="0"/>
          <w:bCs/>
          <w:color w:val="auto"/>
          <w:sz w:val="32"/>
          <w:szCs w:val="32"/>
        </w:rPr>
        <w:t>1.6规划依据</w:t>
      </w:r>
      <w:bookmarkEnd w:id="8"/>
    </w:p>
    <w:p>
      <w:pPr>
        <w:pStyle w:val="3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《交通强国建设纲要》、《交通运输部 国家发展改革委 财政部 自然资源部 农业农村部 国务院扶贫办 国家邮政局 中华全国供销合作总社关于推动“四好农村路”高质量发展的指导意见》（交公路发〔2019〕96号）、《交通运输部关于印发〈推进综合交通运输大数据发展行动纲要（2020—2025年）〉的通知》（交科技发〔2019〕161号）、中共中央 国务院印发 《乡村振兴战略规划（2018－2022年）》、《交通运输部关于印发〈数字交通发展规划纲要〉的通知》（交规划发〔2019〕89号）、《广东省交通运输厅关于印发广东省高速公路网规划（2020—2035年）的通知》（粤交规〔2020〕276号）、《广东省人民政府关于印发广东省“四好农村路”建设攻坚方案的通知》（粤府函〔2020〕70号）、《交通运输部关于广东省开展交通基础设施高质量发展等交通强国建设试点工作的意见》（交规划函〔2020〕694号）、《梅州市人民政府办公室关于印发梅州市综合交通运输体系“十四五”规划的通知》（梅市府办〔2021〕31号）、《国务院关于新时代支持革命老区振兴发展的意见》（国发〔2021〕3号）、《广东省人民政府办公厅关于印发〈广东省综合交通运输体系“十四五”发展规划〉的通知》（粤府办〔2021〕27号）以及其他相关技术标准和上位规划。</w:t>
      </w:r>
    </w:p>
    <w:p>
      <w:pPr>
        <w:pStyle w:val="3"/>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b w:val="0"/>
          <w:bCs/>
          <w:color w:val="auto"/>
          <w:sz w:val="32"/>
          <w:szCs w:val="32"/>
        </w:rPr>
      </w:pPr>
      <w:bookmarkStart w:id="9" w:name="_Toc11625"/>
      <w:bookmarkStart w:id="10" w:name="_Toc3877"/>
      <w:r>
        <w:rPr>
          <w:rFonts w:hint="eastAsia" w:ascii="方正黑体_GBK" w:hAnsi="方正黑体_GBK" w:eastAsia="方正黑体_GBK" w:cs="方正黑体_GBK"/>
          <w:b w:val="0"/>
          <w:bCs/>
          <w:color w:val="auto"/>
          <w:sz w:val="32"/>
          <w:szCs w:val="32"/>
        </w:rPr>
        <w:t>二、发展形势</w:t>
      </w:r>
      <w:bookmarkEnd w:id="9"/>
      <w:bookmarkEnd w:id="10"/>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lang w:eastAsia="zh-CN"/>
        </w:rPr>
      </w:pPr>
      <w:bookmarkStart w:id="11" w:name="_Toc14464"/>
      <w:r>
        <w:rPr>
          <w:rFonts w:hint="default" w:ascii="Nimbus Roman No9 L" w:hAnsi="Nimbus Roman No9 L" w:eastAsia="方正楷体_GBK" w:cs="Nimbus Roman No9 L"/>
          <w:b w:val="0"/>
          <w:bCs/>
          <w:color w:val="auto"/>
          <w:sz w:val="32"/>
          <w:szCs w:val="32"/>
        </w:rPr>
        <w:t>2.1发展现状</w:t>
      </w:r>
      <w:bookmarkEnd w:id="11"/>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位于广东省东北部，地处粤闽赣三省交界处，建县于公元1562年，总面积1381平方公里，辖12个镇、136个村、7个社区，人口26万人。平远县县城设在大柘镇，是广东古八贤之首客家先贤程旼的故乡，享有“世界客家文化始祖地”“世界客都第一村”的美誉。2011年8月被确认为“原中央苏区县”，是中国最佳生态文化旅游目的地、中国最佳文化休闲旅游县、中国最美生态休闲旅游名县、中国民间文化艺术之乡、中国绿色名县、中国油茶之乡、中国仙草之乡。</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近年来，平远县认真贯彻落实省、市决策部署，围绕振兴发展目标，坚守生态保护和维护社会稳定“两条底线”，主动适应新常态，积极抢抓国家和省实施“两大振兴发展政策”机遇，狠抓“三大抓手”项目建设，主攻“一城两区”，全县经济社会呈现发展提速、效益向好、后劲增强的良好态势。</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区位交通优越。</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平远北临赣南，东连闽西，南接潮汕揭，是粤闽赣边客家圈中心区域。G206国道南北贯通全县，济广高速、梅平高速和新建瑞金至梅州铁路经平远，与珠三角、海西区、赣南等地区构成“3小时经济圈”。</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工业基础扎实。</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工业经济正逐步从资源依赖型向质量效益型转变，产业转型升级步伐加快。近年来平远全县工业总量不断壮大、发展质量持续提升。</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城乡富实秀美。</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坚持“精致休闲、特色宜居”理念和粤闽赣边“最美山城”的发展定位，统筹城乡、以城带乡、城乡互动，美丽乡村建设全面提速，城乡人居环境不断提升。仁居镇被评为“省宜居示范城镇”；上举镇被评为岭南魅力名镇；上举镇龙文村、长田镇长安村被评为“省宜居示范村庄”；上举镇畲脑村被评为“中国最美休闲乡村”。</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生态环境优越。</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生态优越，资源丰富，森林覆盖率达78.35%，广东首个国家公园落户平远，是全国绿化模范县。生态文化旅游产业较为发达，规划建设了五指石、长布半岛、南台卧佛山、上举相思谷和热柘温泉五大龙头景区，以及曼佗山庄、大河背、金穗山庄、黄田水库和鸿泰农庄等一批串景节点，构建了星级酒店、乡村驿站、农家民宿梯级旅游接待体系。平远被评为中国最美生态休闲旅游名县、中国百佳深呼吸小城、全国十佳生态休闲旅游城市、全国休闲农业与乡村旅游示范县、全国森林旅游示范县，上举相思谷景区被评为广东最具成长潜力的休闲度假生态乡村，差干镇被确定为广东省旅游专业镇。</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根据已有资料及平远县建设情况，绘制了平远县综合交通运输基础设施布局现状如图2-1所示。</w:t>
      </w:r>
    </w:p>
    <w:p>
      <w:pPr>
        <w:ind w:firstLine="0" w:firstLineChars="0"/>
        <w:jc w:val="center"/>
        <w:rPr>
          <w:b/>
          <w:color w:val="auto"/>
        </w:rPr>
      </w:pPr>
      <w:r>
        <w:rPr>
          <w:color w:val="auto"/>
        </w:rPr>
        <w:drawing>
          <wp:inline distT="0" distB="0" distL="114300" distR="114300">
            <wp:extent cx="5575935" cy="74295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t="227" r="300" b="144"/>
                    <a:stretch>
                      <a:fillRect/>
                    </a:stretch>
                  </pic:blipFill>
                  <pic:spPr>
                    <a:xfrm>
                      <a:off x="0" y="0"/>
                      <a:ext cx="5575935" cy="7429500"/>
                    </a:xfrm>
                    <a:prstGeom prst="rect">
                      <a:avLst/>
                    </a:prstGeom>
                    <a:noFill/>
                    <a:ln>
                      <a:noFill/>
                    </a:ln>
                  </pic:spPr>
                </pic:pic>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图2-1  平远县综合交通运输基础设施布局现状图</w:t>
      </w:r>
    </w:p>
    <w:p>
      <w:pPr>
        <w:pStyle w:val="26"/>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Nimbus Roman No9 L" w:hAnsi="Nimbus Roman No9 L" w:eastAsia="方正楷体_GBK" w:cs="Nimbus Roman No9 L"/>
          <w:b w:val="0"/>
          <w:bCs/>
          <w:color w:val="000000" w:themeColor="text1"/>
          <w:kern w:val="2"/>
          <w:sz w:val="32"/>
          <w:szCs w:val="32"/>
          <w:lang w:val="en-US" w:eastAsia="zh-CN" w:bidi="ar-SA"/>
          <w14:textFill>
            <w14:solidFill>
              <w14:schemeClr w14:val="tx1"/>
            </w14:solidFill>
          </w14:textFill>
        </w:rPr>
      </w:pPr>
      <w:bookmarkStart w:id="12" w:name="_Toc23651"/>
      <w:r>
        <w:rPr>
          <w:rFonts w:hint="default" w:ascii="Nimbus Roman No9 L" w:hAnsi="Nimbus Roman No9 L" w:eastAsia="方正楷体_GBK" w:cs="Nimbus Roman No9 L"/>
          <w:b w:val="0"/>
          <w:bCs/>
          <w:color w:val="000000" w:themeColor="text1"/>
          <w:kern w:val="2"/>
          <w:sz w:val="32"/>
          <w:szCs w:val="32"/>
          <w:lang w:val="en-US" w:eastAsia="zh-CN" w:bidi="ar-SA"/>
          <w14:textFill>
            <w14:solidFill>
              <w14:schemeClr w14:val="tx1"/>
            </w14:solidFill>
          </w14:textFill>
        </w:rPr>
        <w:t>2.2</w:t>
      </w:r>
      <w:r>
        <w:rPr>
          <w:rFonts w:hint="eastAsia" w:ascii="Nimbus Roman No9 L" w:hAnsi="Nimbus Roman No9 L" w:eastAsia="方正楷体_GBK" w:cs="Nimbus Roman No9 L"/>
          <w:b w:val="0"/>
          <w:bCs/>
          <w:color w:val="000000" w:themeColor="text1"/>
          <w:kern w:val="2"/>
          <w:sz w:val="32"/>
          <w:szCs w:val="32"/>
          <w:lang w:val="en-US" w:eastAsia="zh-CN" w:bidi="ar-SA"/>
          <w14:textFill>
            <w14:solidFill>
              <w14:schemeClr w14:val="tx1"/>
            </w14:solidFill>
          </w14:textFill>
        </w:rPr>
        <w:t>“</w:t>
      </w:r>
      <w:r>
        <w:rPr>
          <w:rFonts w:hint="default" w:ascii="Nimbus Roman No9 L" w:hAnsi="Nimbus Roman No9 L" w:eastAsia="方正楷体_GBK" w:cs="Nimbus Roman No9 L"/>
          <w:b w:val="0"/>
          <w:bCs/>
          <w:color w:val="000000" w:themeColor="text1"/>
          <w:kern w:val="2"/>
          <w:sz w:val="32"/>
          <w:szCs w:val="32"/>
          <w:lang w:val="en-US" w:eastAsia="zh-CN" w:bidi="ar-SA"/>
          <w14:textFill>
            <w14:solidFill>
              <w14:schemeClr w14:val="tx1"/>
            </w14:solidFill>
          </w14:textFill>
        </w:rPr>
        <w:t>十三五</w:t>
      </w:r>
      <w:r>
        <w:rPr>
          <w:rFonts w:hint="eastAsia" w:ascii="Nimbus Roman No9 L" w:hAnsi="Nimbus Roman No9 L" w:eastAsia="方正楷体_GBK" w:cs="Nimbus Roman No9 L"/>
          <w:b w:val="0"/>
          <w:bCs/>
          <w:color w:val="000000" w:themeColor="text1"/>
          <w:kern w:val="2"/>
          <w:sz w:val="32"/>
          <w:szCs w:val="32"/>
          <w:lang w:val="en-US" w:eastAsia="zh-CN" w:bidi="ar-SA"/>
          <w14:textFill>
            <w14:solidFill>
              <w14:schemeClr w14:val="tx1"/>
            </w14:solidFill>
          </w14:textFill>
        </w:rPr>
        <w:t>”</w:t>
      </w:r>
      <w:r>
        <w:rPr>
          <w:rFonts w:hint="default" w:ascii="Nimbus Roman No9 L" w:hAnsi="Nimbus Roman No9 L" w:eastAsia="方正楷体_GBK" w:cs="Nimbus Roman No9 L"/>
          <w:b w:val="0"/>
          <w:bCs/>
          <w:color w:val="000000" w:themeColor="text1"/>
          <w:kern w:val="2"/>
          <w:sz w:val="32"/>
          <w:szCs w:val="32"/>
          <w:lang w:val="en-US" w:eastAsia="zh-CN" w:bidi="ar-SA"/>
          <w14:textFill>
            <w14:solidFill>
              <w14:schemeClr w14:val="tx1"/>
            </w14:solidFill>
          </w14:textFill>
        </w:rPr>
        <w:t>发展成就</w:t>
      </w:r>
      <w:bookmarkEnd w:id="12"/>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三五”以来，平远县交通运输行业统筹全局发展，较好地完成各项交通目标，重点项目建设加快，行业管理服务加强，形成了完善、安全、高效、便捷的交通运输体系，为全县经济社会发展打下了坚实的基础。截至2020年底，全县公路通车里程2093.41公里，其中高速公路2条（G35济广高速平远段、S66梅平高速平远段）共57.1公里，国道2条（G206线、G358线）共89.06公里，省道4条（S225线、S239线、S332线、S334线）共180.09公里，县道8条73.84公里，乡村道1693.32公里（其中273.2公里将升级为县道）。每百平方公里公路密度达151.6公里。</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2.2.1铁路设施</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三五”时期，平远县铁路基础设施规划取得重大突破，2016年2月24日，根据中国铁路总公司整合鹰梅铁路与浦梅铁路两条并行线路的要求，原鹰梅铁路取消，新修建瑞金至梅州铁路。目前，广东省、梅州市和平远县都积极推进瑞梅铁路梅州段项目前期工作并力争近期开工建设。瑞梅铁路的建成将解决平远县</w:t>
      </w:r>
      <w:r>
        <w:rPr>
          <w:rFonts w:hint="eastAsia" w:ascii="Nimbus Roman No9 L" w:hAnsi="Nimbus Roman No9 L" w:eastAsia="方正仿宋简体" w:cs="Nimbus Roman No9 L"/>
          <w:b w:val="0"/>
          <w:bCs w:val="0"/>
          <w:color w:val="000000" w:themeColor="text1"/>
          <w:spacing w:val="-6"/>
          <w:kern w:val="2"/>
          <w:sz w:val="32"/>
          <w:szCs w:val="32"/>
          <w:lang w:val="en-US" w:eastAsia="zh-CN" w:bidi="ar-SA"/>
          <w14:textFill>
            <w14:solidFill>
              <w14:schemeClr w14:val="tx1"/>
            </w14:solidFill>
          </w14:textFill>
        </w:rPr>
        <w:t>快速客运及货运能力不足的问题，为平远县经济发展带来强大的动力。</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2.2.2公路设施</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“十三五”时期，平远县公路交通网络呈现快速建设、迅猛发展的趋势，公路网络不断完善。</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高速公路：“十三五”时期，新建梅州至平远高速公路共33.356公里，累计总投资34.48亿元，其中平远段17.51公里。</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国省干线公路：</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①国道投资如表2-1所示。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表2-1  平远县“十三五”时期国道建设投资表</w:t>
      </w:r>
    </w:p>
    <w:tbl>
      <w:tblPr>
        <w:tblStyle w:val="22"/>
        <w:tblW w:w="9608" w:type="dxa"/>
        <w:jc w:val="center"/>
        <w:tblInd w:w="0" w:type="dxa"/>
        <w:tblLayout w:type="fixed"/>
        <w:tblCellMar>
          <w:top w:w="0" w:type="dxa"/>
          <w:left w:w="0" w:type="dxa"/>
          <w:bottom w:w="0" w:type="dxa"/>
          <w:right w:w="0" w:type="dxa"/>
        </w:tblCellMar>
      </w:tblPr>
      <w:tblGrid>
        <w:gridCol w:w="600"/>
        <w:gridCol w:w="3061"/>
        <w:gridCol w:w="667"/>
        <w:gridCol w:w="779"/>
        <w:gridCol w:w="824"/>
        <w:gridCol w:w="1304"/>
        <w:gridCol w:w="1488"/>
        <w:gridCol w:w="885"/>
      </w:tblGrid>
      <w:tr>
        <w:tblPrEx>
          <w:tblLayout w:type="fixed"/>
          <w:tblCellMar>
            <w:top w:w="0" w:type="dxa"/>
            <w:left w:w="0" w:type="dxa"/>
            <w:bottom w:w="0" w:type="dxa"/>
            <w:right w:w="0" w:type="dxa"/>
          </w:tblCellMar>
        </w:tblPrEx>
        <w:trPr>
          <w:trHeight w:val="454" w:hRule="atLeast"/>
          <w:jc w:val="center"/>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rFonts w:hint="eastAsia" w:cs="宋体"/>
                <w:color w:val="auto"/>
                <w:sz w:val="24"/>
                <w:szCs w:val="24"/>
              </w:rPr>
            </w:pPr>
            <w:r>
              <w:rPr>
                <w:rFonts w:hint="eastAsia" w:cs="宋体"/>
                <w:color w:val="auto"/>
                <w:sz w:val="24"/>
                <w:szCs w:val="24"/>
              </w:rPr>
              <w:t>序号</w:t>
            </w:r>
          </w:p>
        </w:tc>
        <w:tc>
          <w:tcPr>
            <w:tcW w:w="3061"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rFonts w:hint="eastAsia" w:cs="宋体"/>
                <w:color w:val="auto"/>
                <w:sz w:val="24"/>
                <w:szCs w:val="24"/>
              </w:rPr>
            </w:pPr>
            <w:r>
              <w:rPr>
                <w:rFonts w:hint="eastAsia" w:cs="宋体"/>
                <w:color w:val="auto"/>
                <w:sz w:val="24"/>
                <w:szCs w:val="24"/>
              </w:rPr>
              <w:t>项目名称</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rFonts w:hint="eastAsia" w:cs="宋体"/>
                <w:color w:val="auto"/>
                <w:sz w:val="24"/>
                <w:szCs w:val="24"/>
              </w:rPr>
            </w:pPr>
            <w:r>
              <w:rPr>
                <w:rFonts w:hint="eastAsia" w:cs="宋体"/>
                <w:color w:val="auto"/>
                <w:sz w:val="24"/>
                <w:szCs w:val="24"/>
              </w:rPr>
              <w:t>建设性质</w:t>
            </w:r>
          </w:p>
        </w:tc>
        <w:tc>
          <w:tcPr>
            <w:tcW w:w="1603" w:type="dxa"/>
            <w:gridSpan w:val="2"/>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rFonts w:hint="eastAsia" w:cs="宋体"/>
                <w:color w:val="auto"/>
                <w:sz w:val="24"/>
                <w:szCs w:val="24"/>
              </w:rPr>
            </w:pPr>
            <w:r>
              <w:rPr>
                <w:rFonts w:hint="eastAsia" w:cs="宋体"/>
                <w:color w:val="auto"/>
                <w:sz w:val="24"/>
                <w:szCs w:val="24"/>
              </w:rPr>
              <w:t>建设内容</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rFonts w:hint="eastAsia" w:cs="宋体"/>
                <w:color w:val="auto"/>
                <w:sz w:val="24"/>
                <w:szCs w:val="24"/>
              </w:rPr>
            </w:pPr>
            <w:r>
              <w:rPr>
                <w:rFonts w:hint="eastAsia" w:cs="宋体"/>
                <w:color w:val="auto"/>
                <w:sz w:val="24"/>
                <w:szCs w:val="24"/>
              </w:rPr>
              <w:t>建设期限（年）</w:t>
            </w:r>
          </w:p>
        </w:tc>
        <w:tc>
          <w:tcPr>
            <w:tcW w:w="1488"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rFonts w:hint="eastAsia" w:cs="宋体"/>
                <w:color w:val="auto"/>
                <w:sz w:val="24"/>
                <w:szCs w:val="24"/>
              </w:rPr>
            </w:pPr>
            <w:r>
              <w:rPr>
                <w:rFonts w:hint="eastAsia" w:cs="宋体"/>
                <w:color w:val="auto"/>
                <w:sz w:val="24"/>
                <w:szCs w:val="24"/>
              </w:rPr>
              <w:t>“十三五”</w:t>
            </w:r>
            <w:r>
              <w:rPr>
                <w:rFonts w:hint="eastAsia" w:cs="宋体"/>
                <w:color w:val="auto"/>
                <w:sz w:val="24"/>
                <w:szCs w:val="24"/>
                <w:lang w:eastAsia="zh-CN"/>
              </w:rPr>
              <w:t>时</w:t>
            </w:r>
            <w:r>
              <w:rPr>
                <w:rFonts w:hint="eastAsia" w:cs="宋体"/>
                <w:color w:val="auto"/>
                <w:sz w:val="24"/>
                <w:szCs w:val="24"/>
              </w:rPr>
              <w:t>期投资（亿元）</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rFonts w:hint="eastAsia" w:cs="宋体"/>
                <w:color w:val="auto"/>
                <w:sz w:val="24"/>
                <w:szCs w:val="24"/>
              </w:rPr>
            </w:pPr>
            <w:r>
              <w:rPr>
                <w:rFonts w:hint="eastAsia" w:cs="宋体"/>
                <w:color w:val="auto"/>
                <w:sz w:val="24"/>
                <w:szCs w:val="24"/>
              </w:rPr>
              <w:t>总投资（亿元）</w:t>
            </w:r>
          </w:p>
        </w:tc>
      </w:tr>
      <w:tr>
        <w:tblPrEx>
          <w:tblLayout w:type="fixed"/>
          <w:tblCellMar>
            <w:top w:w="0" w:type="dxa"/>
            <w:left w:w="0" w:type="dxa"/>
            <w:bottom w:w="0" w:type="dxa"/>
            <w:right w:w="0" w:type="dxa"/>
          </w:tblCellMar>
        </w:tblPrEx>
        <w:trPr>
          <w:trHeight w:val="454" w:hRule="atLeast"/>
          <w:jc w:val="center"/>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eastAsia" w:cs="宋体"/>
                <w:color w:val="auto"/>
                <w:sz w:val="24"/>
                <w:szCs w:val="24"/>
              </w:rPr>
            </w:pPr>
          </w:p>
        </w:tc>
        <w:tc>
          <w:tcPr>
            <w:tcW w:w="306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eastAsia" w:cs="宋体"/>
                <w:color w:val="auto"/>
                <w:sz w:val="24"/>
                <w:szCs w:val="24"/>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eastAsia" w:cs="宋体"/>
                <w:color w:val="auto"/>
                <w:sz w:val="24"/>
                <w:szCs w:val="24"/>
              </w:rPr>
            </w:pPr>
          </w:p>
        </w:tc>
        <w:tc>
          <w:tcPr>
            <w:tcW w:w="779"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rFonts w:hint="eastAsia" w:cs="宋体"/>
                <w:color w:val="auto"/>
                <w:sz w:val="24"/>
                <w:szCs w:val="24"/>
              </w:rPr>
            </w:pPr>
            <w:r>
              <w:rPr>
                <w:rFonts w:hint="eastAsia" w:cs="宋体"/>
                <w:color w:val="auto"/>
                <w:sz w:val="24"/>
                <w:szCs w:val="24"/>
              </w:rPr>
              <w:t>标准</w:t>
            </w:r>
          </w:p>
        </w:tc>
        <w:tc>
          <w:tcPr>
            <w:tcW w:w="824"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rFonts w:hint="eastAsia" w:cs="宋体"/>
                <w:color w:val="auto"/>
                <w:sz w:val="24"/>
                <w:szCs w:val="24"/>
              </w:rPr>
            </w:pPr>
            <w:r>
              <w:rPr>
                <w:rFonts w:hint="eastAsia" w:cs="宋体"/>
                <w:color w:val="auto"/>
                <w:sz w:val="24"/>
                <w:szCs w:val="24"/>
              </w:rPr>
              <w:t>规模(公里)</w:t>
            </w: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eastAsia" w:cs="宋体"/>
                <w:color w:val="auto"/>
                <w:sz w:val="24"/>
                <w:szCs w:val="24"/>
              </w:rPr>
            </w:pPr>
          </w:p>
        </w:tc>
        <w:tc>
          <w:tcPr>
            <w:tcW w:w="14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eastAsia" w:cs="宋体"/>
                <w:color w:val="auto"/>
                <w:sz w:val="24"/>
                <w:szCs w:val="24"/>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eastAsia" w:cs="宋体"/>
                <w:color w:val="auto"/>
                <w:sz w:val="24"/>
                <w:szCs w:val="24"/>
              </w:rPr>
            </w:pPr>
          </w:p>
        </w:tc>
      </w:tr>
      <w:tr>
        <w:tblPrEx>
          <w:tblLayout w:type="fixed"/>
          <w:tblCellMar>
            <w:top w:w="0" w:type="dxa"/>
            <w:left w:w="0" w:type="dxa"/>
            <w:bottom w:w="0" w:type="dxa"/>
            <w:right w:w="0" w:type="dxa"/>
          </w:tblCellMar>
        </w:tblPrEx>
        <w:trPr>
          <w:trHeight w:val="667"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国道G206线平远县田螺纽至超竹村段绕城改建工程</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新建</w:t>
            </w:r>
          </w:p>
        </w:tc>
        <w:tc>
          <w:tcPr>
            <w:tcW w:w="77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一级</w:t>
            </w:r>
          </w:p>
        </w:tc>
        <w:tc>
          <w:tcPr>
            <w:tcW w:w="8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13.72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2019</w:t>
            </w:r>
            <w:r>
              <w:rPr>
                <w:rFonts w:hint="default"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2021</w:t>
            </w:r>
          </w:p>
        </w:tc>
        <w:tc>
          <w:tcPr>
            <w:tcW w:w="14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w:t>
            </w:r>
          </w:p>
        </w:tc>
        <w:tc>
          <w:tcPr>
            <w:tcW w:w="8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5.8</w:t>
            </w:r>
            <w:r>
              <w:rPr>
                <w:rFonts w:hint="default" w:ascii="Nimbus Roman No9 L" w:hAnsi="Nimbus Roman No9 L" w:eastAsia="方正仿宋_GBK" w:cs="Nimbus Roman No9 L"/>
                <w:color w:val="auto"/>
                <w:sz w:val="24"/>
                <w:szCs w:val="24"/>
                <w:lang w:val="en-US" w:eastAsia="zh-CN"/>
              </w:rPr>
              <w:t>2</w:t>
            </w:r>
          </w:p>
        </w:tc>
      </w:tr>
      <w:tr>
        <w:tblPrEx>
          <w:tblLayout w:type="fixed"/>
          <w:tblCellMar>
            <w:top w:w="0" w:type="dxa"/>
            <w:left w:w="0" w:type="dxa"/>
            <w:bottom w:w="0" w:type="dxa"/>
            <w:right w:w="0" w:type="dxa"/>
          </w:tblCellMar>
        </w:tblPrEx>
        <w:trPr>
          <w:trHeight w:val="69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国道G206线平远县八尺镇至大柘镇段(K2087-K2115.4)</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路面改造</w:t>
            </w:r>
          </w:p>
        </w:tc>
        <w:tc>
          <w:tcPr>
            <w:tcW w:w="77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w:t>
            </w:r>
          </w:p>
        </w:tc>
        <w:tc>
          <w:tcPr>
            <w:tcW w:w="8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28.40</w:t>
            </w:r>
          </w:p>
        </w:tc>
        <w:tc>
          <w:tcPr>
            <w:tcW w:w="13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2016</w:t>
            </w:r>
            <w:r>
              <w:rPr>
                <w:rFonts w:hint="default"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2017</w:t>
            </w:r>
          </w:p>
        </w:tc>
        <w:tc>
          <w:tcPr>
            <w:tcW w:w="14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0.9</w:t>
            </w:r>
            <w:r>
              <w:rPr>
                <w:rFonts w:hint="default" w:ascii="Nimbus Roman No9 L" w:hAnsi="Nimbus Roman No9 L" w:eastAsia="方正仿宋_GBK" w:cs="Nimbus Roman No9 L"/>
                <w:color w:val="auto"/>
                <w:sz w:val="24"/>
                <w:szCs w:val="24"/>
                <w:lang w:val="en-US" w:eastAsia="zh-CN"/>
              </w:rPr>
              <w:t>7</w:t>
            </w:r>
          </w:p>
        </w:tc>
        <w:tc>
          <w:tcPr>
            <w:tcW w:w="8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lang w:val="en-US" w:eastAsia="zh-CN"/>
              </w:rPr>
            </w:pPr>
            <w:r>
              <w:rPr>
                <w:rFonts w:hint="default" w:ascii="Nimbus Roman No9 L" w:hAnsi="Nimbus Roman No9 L" w:eastAsia="方正仿宋_GBK" w:cs="Nimbus Roman No9 L"/>
                <w:color w:val="auto"/>
                <w:sz w:val="24"/>
                <w:szCs w:val="24"/>
                <w:lang w:val="en-US" w:eastAsia="zh-CN"/>
              </w:rPr>
              <w:t>0.97</w:t>
            </w:r>
          </w:p>
        </w:tc>
      </w:tr>
      <w:tr>
        <w:tblPrEx>
          <w:tblLayout w:type="fixed"/>
          <w:tblCellMar>
            <w:top w:w="0" w:type="dxa"/>
            <w:left w:w="0" w:type="dxa"/>
            <w:bottom w:w="0" w:type="dxa"/>
            <w:right w:w="0" w:type="dxa"/>
          </w:tblCellMar>
        </w:tblPrEx>
        <w:trPr>
          <w:trHeight w:val="709"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国道G358线平远县湍溪至八尺段升级改造</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升级改造</w:t>
            </w:r>
          </w:p>
        </w:tc>
        <w:tc>
          <w:tcPr>
            <w:tcW w:w="77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w:t>
            </w:r>
          </w:p>
        </w:tc>
        <w:tc>
          <w:tcPr>
            <w:tcW w:w="8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35.98</w:t>
            </w:r>
          </w:p>
        </w:tc>
        <w:tc>
          <w:tcPr>
            <w:tcW w:w="13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2019</w:t>
            </w:r>
            <w:r>
              <w:rPr>
                <w:rFonts w:hint="default"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2021</w:t>
            </w:r>
          </w:p>
        </w:tc>
        <w:tc>
          <w:tcPr>
            <w:tcW w:w="14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3.5</w:t>
            </w:r>
          </w:p>
        </w:tc>
        <w:tc>
          <w:tcPr>
            <w:tcW w:w="8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4.27</w:t>
            </w:r>
          </w:p>
        </w:tc>
      </w:tr>
      <w:tr>
        <w:tblPrEx>
          <w:tblLayout w:type="fixed"/>
          <w:tblCellMar>
            <w:top w:w="0" w:type="dxa"/>
            <w:left w:w="0" w:type="dxa"/>
            <w:bottom w:w="0" w:type="dxa"/>
            <w:right w:w="0" w:type="dxa"/>
          </w:tblCellMar>
        </w:tblPrEx>
        <w:trPr>
          <w:trHeight w:val="454"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累计</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78.1</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9.4</w:t>
            </w:r>
            <w:r>
              <w:rPr>
                <w:rFonts w:hint="default" w:ascii="Nimbus Roman No9 L" w:hAnsi="Nimbus Roman No9 L" w:eastAsia="方正仿宋_GBK" w:cs="Nimbus Roman No9 L"/>
                <w:color w:val="auto"/>
                <w:sz w:val="24"/>
                <w:szCs w:val="24"/>
                <w:lang w:val="en-US" w:eastAsia="zh-CN"/>
              </w:rPr>
              <w:t>7</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snapToGrid w:val="0"/>
              <w:rPr>
                <w:rFonts w:hint="default" w:ascii="Nimbus Roman No9 L" w:hAnsi="Nimbus Roman No9 L" w:eastAsia="方正仿宋_GBK" w:cs="Nimbus Roman No9 L"/>
                <w:color w:val="auto"/>
                <w:sz w:val="24"/>
                <w:szCs w:val="24"/>
                <w:lang w:val="en-US" w:eastAsia="zh-CN"/>
              </w:rPr>
            </w:pPr>
            <w:r>
              <w:rPr>
                <w:rFonts w:hint="default" w:ascii="Nimbus Roman No9 L" w:hAnsi="Nimbus Roman No9 L" w:eastAsia="方正仿宋_GBK" w:cs="Nimbus Roman No9 L"/>
                <w:color w:val="auto"/>
                <w:sz w:val="24"/>
                <w:szCs w:val="24"/>
              </w:rPr>
              <w:t>11.</w:t>
            </w:r>
            <w:r>
              <w:rPr>
                <w:rFonts w:hint="default" w:ascii="Nimbus Roman No9 L" w:hAnsi="Nimbus Roman No9 L" w:eastAsia="方正仿宋_GBK" w:cs="Nimbus Roman No9 L"/>
                <w:color w:val="auto"/>
                <w:sz w:val="24"/>
                <w:szCs w:val="24"/>
                <w:lang w:val="en-US" w:eastAsia="zh-CN"/>
              </w:rPr>
              <w:t>06</w:t>
            </w:r>
          </w:p>
        </w:tc>
      </w:tr>
    </w:tbl>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三五”时期，平远县国道建设共计3条，分别为国道G206线平远县大柘镇田螺纽至大柘镇超竹村段绕城改建工程，国道G206线平远县八尺镇至大柘镇段（K2087-K2115.4），国道G358线平远县差干镇湍溪村至八尺镇段升级改造，总计里程为78.1公里，“十三五”时期总投资为9.47亿元。</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②省道投资如表2-2所示。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表2-2  平远县“十三五”时期省道建设投资表</w:t>
      </w:r>
    </w:p>
    <w:tbl>
      <w:tblPr>
        <w:tblStyle w:val="22"/>
        <w:tblW w:w="9508" w:type="dxa"/>
        <w:jc w:val="center"/>
        <w:tblInd w:w="0" w:type="dxa"/>
        <w:tblLayout w:type="fixed"/>
        <w:tblCellMar>
          <w:top w:w="0" w:type="dxa"/>
          <w:left w:w="0" w:type="dxa"/>
          <w:bottom w:w="0" w:type="dxa"/>
          <w:right w:w="0" w:type="dxa"/>
        </w:tblCellMar>
      </w:tblPr>
      <w:tblGrid>
        <w:gridCol w:w="510"/>
        <w:gridCol w:w="3061"/>
        <w:gridCol w:w="665"/>
        <w:gridCol w:w="667"/>
        <w:gridCol w:w="831"/>
        <w:gridCol w:w="1361"/>
        <w:gridCol w:w="1483"/>
        <w:gridCol w:w="930"/>
      </w:tblGrid>
      <w:tr>
        <w:tblPrEx>
          <w:tblLayout w:type="fixed"/>
          <w:tblCellMar>
            <w:top w:w="0" w:type="dxa"/>
            <w:left w:w="0" w:type="dxa"/>
            <w:bottom w:w="0" w:type="dxa"/>
            <w:right w:w="0" w:type="dxa"/>
          </w:tblCellMar>
        </w:tblPrEx>
        <w:trPr>
          <w:trHeight w:val="454" w:hRule="atLeast"/>
          <w:jc w:val="center"/>
        </w:trPr>
        <w:tc>
          <w:tcPr>
            <w:tcW w:w="510"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color w:val="auto"/>
                <w:sz w:val="24"/>
                <w:szCs w:val="24"/>
              </w:rPr>
            </w:pPr>
            <w:r>
              <w:rPr>
                <w:rFonts w:hint="eastAsia"/>
                <w:color w:val="auto"/>
                <w:sz w:val="24"/>
                <w:szCs w:val="24"/>
              </w:rPr>
              <w:t>序号</w:t>
            </w:r>
          </w:p>
        </w:tc>
        <w:tc>
          <w:tcPr>
            <w:tcW w:w="3061"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color w:val="auto"/>
                <w:sz w:val="24"/>
                <w:szCs w:val="24"/>
              </w:rPr>
            </w:pPr>
            <w:r>
              <w:rPr>
                <w:rFonts w:hint="eastAsia"/>
                <w:color w:val="auto"/>
                <w:sz w:val="24"/>
                <w:szCs w:val="24"/>
              </w:rPr>
              <w:t>项目名称</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color w:val="auto"/>
                <w:sz w:val="24"/>
                <w:szCs w:val="24"/>
              </w:rPr>
            </w:pPr>
            <w:r>
              <w:rPr>
                <w:rFonts w:hint="eastAsia"/>
                <w:color w:val="auto"/>
                <w:sz w:val="24"/>
                <w:szCs w:val="24"/>
              </w:rPr>
              <w:t>建设</w:t>
            </w:r>
          </w:p>
          <w:p>
            <w:pPr>
              <w:pStyle w:val="35"/>
              <w:snapToGrid w:val="0"/>
              <w:rPr>
                <w:color w:val="auto"/>
                <w:sz w:val="24"/>
                <w:szCs w:val="24"/>
              </w:rPr>
            </w:pPr>
            <w:r>
              <w:rPr>
                <w:rFonts w:hint="eastAsia"/>
                <w:color w:val="auto"/>
                <w:sz w:val="24"/>
                <w:szCs w:val="24"/>
              </w:rPr>
              <w:t>性质</w:t>
            </w:r>
          </w:p>
        </w:tc>
        <w:tc>
          <w:tcPr>
            <w:tcW w:w="1498" w:type="dxa"/>
            <w:gridSpan w:val="2"/>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color w:val="auto"/>
                <w:sz w:val="24"/>
                <w:szCs w:val="24"/>
              </w:rPr>
            </w:pPr>
            <w:r>
              <w:rPr>
                <w:rFonts w:hint="eastAsia"/>
                <w:color w:val="auto"/>
                <w:sz w:val="24"/>
                <w:szCs w:val="24"/>
              </w:rPr>
              <w:t>建设内容</w:t>
            </w:r>
          </w:p>
        </w:tc>
        <w:tc>
          <w:tcPr>
            <w:tcW w:w="1361"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color w:val="auto"/>
                <w:sz w:val="24"/>
                <w:szCs w:val="24"/>
              </w:rPr>
            </w:pPr>
            <w:r>
              <w:rPr>
                <w:rFonts w:hint="eastAsia"/>
                <w:color w:val="auto"/>
                <w:sz w:val="24"/>
                <w:szCs w:val="24"/>
              </w:rPr>
              <w:t>建设</w:t>
            </w:r>
          </w:p>
          <w:p>
            <w:pPr>
              <w:pStyle w:val="35"/>
              <w:snapToGrid w:val="0"/>
              <w:rPr>
                <w:color w:val="auto"/>
                <w:sz w:val="24"/>
                <w:szCs w:val="24"/>
              </w:rPr>
            </w:pPr>
            <w:r>
              <w:rPr>
                <w:rFonts w:hint="eastAsia"/>
                <w:color w:val="auto"/>
                <w:sz w:val="24"/>
                <w:szCs w:val="24"/>
              </w:rPr>
              <w:t>期限（年）</w:t>
            </w:r>
          </w:p>
        </w:tc>
        <w:tc>
          <w:tcPr>
            <w:tcW w:w="1483"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color w:val="auto"/>
                <w:sz w:val="24"/>
                <w:szCs w:val="24"/>
              </w:rPr>
            </w:pPr>
            <w:r>
              <w:rPr>
                <w:rFonts w:hint="eastAsia"/>
                <w:color w:val="auto"/>
                <w:sz w:val="24"/>
                <w:szCs w:val="24"/>
              </w:rPr>
              <w:t>“十三五”</w:t>
            </w:r>
            <w:r>
              <w:rPr>
                <w:rFonts w:hint="eastAsia"/>
                <w:color w:val="auto"/>
                <w:sz w:val="24"/>
                <w:szCs w:val="24"/>
                <w:lang w:eastAsia="zh-CN"/>
              </w:rPr>
              <w:t>时</w:t>
            </w:r>
            <w:r>
              <w:rPr>
                <w:rFonts w:hint="eastAsia"/>
                <w:color w:val="auto"/>
                <w:sz w:val="24"/>
                <w:szCs w:val="24"/>
              </w:rPr>
              <w:t>期投资（亿元）</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color w:val="auto"/>
                <w:sz w:val="24"/>
                <w:szCs w:val="24"/>
              </w:rPr>
            </w:pPr>
            <w:r>
              <w:rPr>
                <w:rFonts w:hint="eastAsia"/>
                <w:color w:val="auto"/>
                <w:sz w:val="24"/>
                <w:szCs w:val="24"/>
              </w:rPr>
              <w:t>总投资（亿元）</w:t>
            </w:r>
          </w:p>
        </w:tc>
      </w:tr>
      <w:tr>
        <w:tblPrEx>
          <w:tblLayout w:type="fixed"/>
          <w:tblCellMar>
            <w:top w:w="0" w:type="dxa"/>
            <w:left w:w="0" w:type="dxa"/>
            <w:bottom w:w="0" w:type="dxa"/>
            <w:right w:w="0" w:type="dxa"/>
          </w:tblCellMar>
        </w:tblPrEx>
        <w:trPr>
          <w:trHeight w:val="454" w:hRule="atLeast"/>
          <w:jc w:val="center"/>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color w:val="auto"/>
                <w:sz w:val="24"/>
                <w:szCs w:val="24"/>
              </w:rPr>
            </w:pPr>
          </w:p>
        </w:tc>
        <w:tc>
          <w:tcPr>
            <w:tcW w:w="306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color w:val="auto"/>
                <w:sz w:val="24"/>
                <w:szCs w:val="24"/>
              </w:rPr>
            </w:pPr>
          </w:p>
        </w:tc>
        <w:tc>
          <w:tcPr>
            <w:tcW w:w="66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color w:val="auto"/>
                <w:sz w:val="24"/>
                <w:szCs w:val="24"/>
              </w:rPr>
            </w:pPr>
          </w:p>
        </w:tc>
        <w:tc>
          <w:tcPr>
            <w:tcW w:w="66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color w:val="auto"/>
                <w:sz w:val="24"/>
                <w:szCs w:val="24"/>
              </w:rPr>
            </w:pPr>
            <w:r>
              <w:rPr>
                <w:rFonts w:hint="eastAsia"/>
                <w:color w:val="auto"/>
                <w:sz w:val="24"/>
                <w:szCs w:val="24"/>
              </w:rPr>
              <w:t>标准</w:t>
            </w:r>
          </w:p>
        </w:tc>
        <w:tc>
          <w:tcPr>
            <w:tcW w:w="83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snapToGrid w:val="0"/>
              <w:rPr>
                <w:color w:val="auto"/>
                <w:sz w:val="24"/>
                <w:szCs w:val="24"/>
              </w:rPr>
            </w:pPr>
            <w:r>
              <w:rPr>
                <w:rFonts w:hint="eastAsia"/>
                <w:color w:val="auto"/>
                <w:sz w:val="24"/>
                <w:szCs w:val="24"/>
              </w:rPr>
              <w:t>规模(公里)</w:t>
            </w:r>
          </w:p>
        </w:tc>
        <w:tc>
          <w:tcPr>
            <w:tcW w:w="136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color w:val="auto"/>
                <w:sz w:val="24"/>
                <w:szCs w:val="24"/>
              </w:rPr>
            </w:pP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color w:val="auto"/>
                <w:sz w:val="24"/>
                <w:szCs w:val="24"/>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snapToGrid w:val="0"/>
              <w:rPr>
                <w:color w:val="auto"/>
                <w:sz w:val="24"/>
                <w:szCs w:val="24"/>
              </w:rPr>
            </w:pPr>
          </w:p>
        </w:tc>
      </w:tr>
      <w:tr>
        <w:tblPrEx>
          <w:tblLayout w:type="fixed"/>
          <w:tblCellMar>
            <w:top w:w="0" w:type="dxa"/>
            <w:left w:w="0" w:type="dxa"/>
            <w:bottom w:w="0" w:type="dxa"/>
            <w:right w:w="0"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1</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省道S225线平远大柘镇至石正镇段</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升级改造</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一级</w:t>
            </w:r>
          </w:p>
        </w:tc>
        <w:tc>
          <w:tcPr>
            <w:tcW w:w="8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8.31</w:t>
            </w:r>
          </w:p>
        </w:tc>
        <w:tc>
          <w:tcPr>
            <w:tcW w:w="1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2019</w:t>
            </w:r>
            <w:r>
              <w:rPr>
                <w:rFonts w:hint="eastAsia" w:ascii="Nimbus Roman No9 L" w:hAnsi="Nimbus Roman No9 L" w:eastAsia="方正仿宋_GBK" w:cs="Nimbus Roman No9 L"/>
                <w:color w:val="auto"/>
                <w:sz w:val="24"/>
                <w:szCs w:val="24"/>
                <w:lang w:eastAsia="zh-CN"/>
              </w:rPr>
              <w:t>—</w:t>
            </w:r>
            <w:r>
              <w:rPr>
                <w:rFonts w:hint="eastAsia" w:ascii="Nimbus Roman No9 L" w:hAnsi="Nimbus Roman No9 L" w:eastAsia="方正仿宋_GBK" w:cs="Nimbus Roman No9 L"/>
                <w:color w:val="auto"/>
                <w:sz w:val="24"/>
                <w:szCs w:val="24"/>
              </w:rPr>
              <w:t>2020</w:t>
            </w:r>
          </w:p>
        </w:tc>
        <w:tc>
          <w:tcPr>
            <w:tcW w:w="14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0.60</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1.6</w:t>
            </w:r>
          </w:p>
        </w:tc>
      </w:tr>
      <w:tr>
        <w:tblPrEx>
          <w:tblLayout w:type="fixed"/>
          <w:tblCellMar>
            <w:top w:w="0" w:type="dxa"/>
            <w:left w:w="0" w:type="dxa"/>
            <w:bottom w:w="0" w:type="dxa"/>
            <w:right w:w="0"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省道S225线（原X967线）平远县大柘至徐溪</w:t>
            </w:r>
            <w:r>
              <w:rPr>
                <w:rFonts w:hint="eastAsia" w:ascii="Nimbus Roman No9 L" w:hAnsi="Nimbus Roman No9 L" w:eastAsia="方正仿宋_GBK" w:cs="Nimbus Roman No9 L"/>
                <w:color w:val="auto"/>
                <w:sz w:val="24"/>
                <w:szCs w:val="24"/>
                <w:lang w:eastAsia="zh-CN"/>
              </w:rPr>
              <w:t>段</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路面改造</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二级</w:t>
            </w:r>
          </w:p>
        </w:tc>
        <w:tc>
          <w:tcPr>
            <w:tcW w:w="8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20.67</w:t>
            </w:r>
          </w:p>
        </w:tc>
        <w:tc>
          <w:tcPr>
            <w:tcW w:w="1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2016</w:t>
            </w:r>
            <w:r>
              <w:rPr>
                <w:rFonts w:hint="eastAsia" w:ascii="Nimbus Roman No9 L" w:hAnsi="Nimbus Roman No9 L" w:eastAsia="方正仿宋_GBK" w:cs="Nimbus Roman No9 L"/>
                <w:color w:val="auto"/>
                <w:sz w:val="24"/>
                <w:szCs w:val="24"/>
                <w:lang w:eastAsia="zh-CN"/>
              </w:rPr>
              <w:t>—</w:t>
            </w:r>
            <w:r>
              <w:rPr>
                <w:rFonts w:hint="eastAsia" w:ascii="Nimbus Roman No9 L" w:hAnsi="Nimbus Roman No9 L" w:eastAsia="方正仿宋_GBK" w:cs="Nimbus Roman No9 L"/>
                <w:color w:val="auto"/>
                <w:sz w:val="24"/>
                <w:szCs w:val="24"/>
              </w:rPr>
              <w:t>2020</w:t>
            </w:r>
          </w:p>
        </w:tc>
        <w:tc>
          <w:tcPr>
            <w:tcW w:w="14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0.45</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0.45</w:t>
            </w:r>
          </w:p>
        </w:tc>
      </w:tr>
      <w:tr>
        <w:tblPrEx>
          <w:tblLayout w:type="fixed"/>
          <w:tblCellMar>
            <w:top w:w="0" w:type="dxa"/>
            <w:left w:w="0" w:type="dxa"/>
            <w:bottom w:w="0" w:type="dxa"/>
            <w:right w:w="0"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3</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省道S239线</w:t>
            </w:r>
            <w:r>
              <w:rPr>
                <w:rFonts w:hint="eastAsia" w:ascii="Nimbus Roman No9 L" w:hAnsi="Nimbus Roman No9 L" w:eastAsia="方正仿宋_GBK" w:cs="Nimbus Roman No9 L"/>
                <w:color w:val="auto"/>
                <w:sz w:val="24"/>
                <w:szCs w:val="24"/>
                <w:lang w:eastAsia="zh-CN"/>
              </w:rPr>
              <w:t>（</w:t>
            </w:r>
            <w:r>
              <w:rPr>
                <w:rFonts w:hint="eastAsia" w:ascii="Nimbus Roman No9 L" w:hAnsi="Nimbus Roman No9 L" w:eastAsia="方正仿宋_GBK" w:cs="Nimbus Roman No9 L"/>
                <w:color w:val="auto"/>
                <w:sz w:val="24"/>
                <w:szCs w:val="24"/>
              </w:rPr>
              <w:t>原X039线）长田至坝头段</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改造</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二级</w:t>
            </w:r>
          </w:p>
        </w:tc>
        <w:tc>
          <w:tcPr>
            <w:tcW w:w="8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25.00</w:t>
            </w:r>
          </w:p>
        </w:tc>
        <w:tc>
          <w:tcPr>
            <w:tcW w:w="1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2016</w:t>
            </w:r>
            <w:r>
              <w:rPr>
                <w:rFonts w:hint="eastAsia" w:ascii="Nimbus Roman No9 L" w:hAnsi="Nimbus Roman No9 L" w:eastAsia="方正仿宋_GBK" w:cs="Nimbus Roman No9 L"/>
                <w:color w:val="auto"/>
                <w:sz w:val="24"/>
                <w:szCs w:val="24"/>
                <w:lang w:eastAsia="zh-CN"/>
              </w:rPr>
              <w:t>—</w:t>
            </w:r>
            <w:r>
              <w:rPr>
                <w:rFonts w:hint="eastAsia" w:ascii="Nimbus Roman No9 L" w:hAnsi="Nimbus Roman No9 L" w:eastAsia="方正仿宋_GBK" w:cs="Nimbus Roman No9 L"/>
                <w:color w:val="auto"/>
                <w:sz w:val="24"/>
                <w:szCs w:val="24"/>
              </w:rPr>
              <w:t>2020</w:t>
            </w:r>
          </w:p>
        </w:tc>
        <w:tc>
          <w:tcPr>
            <w:tcW w:w="14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0.</w:t>
            </w:r>
            <w:r>
              <w:rPr>
                <w:rFonts w:hint="eastAsia" w:ascii="Nimbus Roman No9 L" w:hAnsi="Nimbus Roman No9 L" w:eastAsia="方正仿宋_GBK" w:cs="Nimbus Roman No9 L"/>
                <w:color w:val="auto"/>
                <w:sz w:val="24"/>
                <w:szCs w:val="24"/>
                <w:lang w:val="en-US" w:eastAsia="zh-CN"/>
              </w:rPr>
              <w:t>5</w:t>
            </w:r>
            <w:r>
              <w:rPr>
                <w:rFonts w:hint="eastAsia" w:ascii="Nimbus Roman No9 L" w:hAnsi="Nimbus Roman No9 L" w:eastAsia="方正仿宋_GBK" w:cs="Nimbus Roman No9 L"/>
                <w:color w:val="auto"/>
                <w:sz w:val="24"/>
                <w:szCs w:val="24"/>
              </w:rPr>
              <w:t>0</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0.5</w:t>
            </w:r>
          </w:p>
        </w:tc>
      </w:tr>
      <w:tr>
        <w:tblPrEx>
          <w:tblLayout w:type="fixed"/>
          <w:tblCellMar>
            <w:top w:w="0" w:type="dxa"/>
            <w:left w:w="0" w:type="dxa"/>
            <w:bottom w:w="0" w:type="dxa"/>
            <w:right w:w="0"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4</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省道S239线</w:t>
            </w:r>
            <w:r>
              <w:rPr>
                <w:rFonts w:hint="eastAsia" w:ascii="Nimbus Roman No9 L" w:hAnsi="Nimbus Roman No9 L" w:eastAsia="方正仿宋_GBK" w:cs="Nimbus Roman No9 L"/>
                <w:color w:val="auto"/>
                <w:sz w:val="24"/>
                <w:szCs w:val="24"/>
                <w:lang w:eastAsia="zh-CN"/>
              </w:rPr>
              <w:t>（</w:t>
            </w:r>
            <w:r>
              <w:rPr>
                <w:rFonts w:hint="eastAsia" w:ascii="Nimbus Roman No9 L" w:hAnsi="Nimbus Roman No9 L" w:eastAsia="方正仿宋_GBK" w:cs="Nimbus Roman No9 L"/>
                <w:color w:val="auto"/>
                <w:sz w:val="24"/>
                <w:szCs w:val="24"/>
              </w:rPr>
              <w:t>原</w:t>
            </w:r>
            <w:r>
              <w:rPr>
                <w:rFonts w:hint="eastAsia" w:ascii="Nimbus Roman No9 L" w:hAnsi="Nimbus Roman No9 L" w:eastAsia="方正仿宋_GBK" w:cs="Nimbus Roman No9 L"/>
                <w:color w:val="auto"/>
                <w:sz w:val="24"/>
                <w:szCs w:val="24"/>
                <w:lang w:val="en-US" w:eastAsia="zh-CN"/>
              </w:rPr>
              <w:t>X037线）</w:t>
            </w:r>
            <w:r>
              <w:rPr>
                <w:rFonts w:hint="eastAsia" w:ascii="Nimbus Roman No9 L" w:hAnsi="Nimbus Roman No9 L" w:eastAsia="方正仿宋_GBK" w:cs="Nimbus Roman No9 L"/>
                <w:color w:val="auto"/>
                <w:sz w:val="24"/>
                <w:szCs w:val="24"/>
                <w:lang w:eastAsia="zh-CN"/>
              </w:rPr>
              <w:t>差干湍溪至</w:t>
            </w:r>
            <w:r>
              <w:rPr>
                <w:rFonts w:hint="eastAsia" w:ascii="Nimbus Roman No9 L" w:hAnsi="Nimbus Roman No9 L" w:eastAsia="方正仿宋_GBK" w:cs="Nimbus Roman No9 L"/>
                <w:color w:val="auto"/>
                <w:sz w:val="24"/>
                <w:szCs w:val="24"/>
                <w:lang w:val="en-US" w:eastAsia="zh-CN"/>
              </w:rPr>
              <w:t>上举</w:t>
            </w:r>
            <w:r>
              <w:rPr>
                <w:rFonts w:hint="eastAsia" w:ascii="Nimbus Roman No9 L" w:hAnsi="Nimbus Roman No9 L" w:eastAsia="方正仿宋_GBK" w:cs="Nimbus Roman No9 L"/>
                <w:color w:val="auto"/>
                <w:sz w:val="24"/>
                <w:szCs w:val="24"/>
                <w:lang w:eastAsia="zh-CN"/>
              </w:rPr>
              <w:t>畲脑段</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改造</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二级</w:t>
            </w:r>
          </w:p>
        </w:tc>
        <w:tc>
          <w:tcPr>
            <w:tcW w:w="8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20.5</w:t>
            </w:r>
          </w:p>
        </w:tc>
        <w:tc>
          <w:tcPr>
            <w:tcW w:w="1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2019</w:t>
            </w:r>
            <w:r>
              <w:rPr>
                <w:rFonts w:hint="eastAsia" w:ascii="Nimbus Roman No9 L" w:hAnsi="Nimbus Roman No9 L" w:eastAsia="方正仿宋_GBK" w:cs="Nimbus Roman No9 L"/>
                <w:color w:val="auto"/>
                <w:sz w:val="24"/>
                <w:szCs w:val="24"/>
                <w:lang w:eastAsia="zh-CN"/>
              </w:rPr>
              <w:t>—</w:t>
            </w:r>
            <w:r>
              <w:rPr>
                <w:rFonts w:hint="eastAsia" w:ascii="Nimbus Roman No9 L" w:hAnsi="Nimbus Roman No9 L" w:eastAsia="方正仿宋_GBK" w:cs="Nimbus Roman No9 L"/>
                <w:color w:val="auto"/>
                <w:sz w:val="24"/>
                <w:szCs w:val="24"/>
              </w:rPr>
              <w:t>2020</w:t>
            </w:r>
          </w:p>
        </w:tc>
        <w:tc>
          <w:tcPr>
            <w:tcW w:w="14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rPr>
              <w:t>0.</w:t>
            </w:r>
            <w:r>
              <w:rPr>
                <w:rFonts w:hint="eastAsia" w:ascii="Nimbus Roman No9 L" w:hAnsi="Nimbus Roman No9 L" w:eastAsia="方正仿宋_GBK" w:cs="Nimbus Roman No9 L"/>
                <w:color w:val="auto"/>
                <w:sz w:val="24"/>
                <w:szCs w:val="24"/>
                <w:lang w:val="en-US" w:eastAsia="zh-CN"/>
              </w:rPr>
              <w:t>25</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0.25</w:t>
            </w:r>
          </w:p>
        </w:tc>
      </w:tr>
      <w:tr>
        <w:tblPrEx>
          <w:tblLayout w:type="fixed"/>
          <w:tblCellMar>
            <w:top w:w="0" w:type="dxa"/>
            <w:left w:w="0" w:type="dxa"/>
            <w:bottom w:w="0" w:type="dxa"/>
            <w:right w:w="0"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5</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省道S332线平远县东石镇十二排至东石镇茅坪村段</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路面改造</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二级</w:t>
            </w:r>
          </w:p>
        </w:tc>
        <w:tc>
          <w:tcPr>
            <w:tcW w:w="8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12.51</w:t>
            </w:r>
          </w:p>
        </w:tc>
        <w:tc>
          <w:tcPr>
            <w:tcW w:w="1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2018</w:t>
            </w:r>
            <w:r>
              <w:rPr>
                <w:rFonts w:hint="eastAsia" w:ascii="Nimbus Roman No9 L" w:hAnsi="Nimbus Roman No9 L" w:eastAsia="方正仿宋_GBK" w:cs="Nimbus Roman No9 L"/>
                <w:color w:val="auto"/>
                <w:sz w:val="24"/>
                <w:szCs w:val="24"/>
                <w:lang w:eastAsia="zh-CN"/>
              </w:rPr>
              <w:t>—</w:t>
            </w:r>
            <w:r>
              <w:rPr>
                <w:rFonts w:hint="eastAsia" w:ascii="Nimbus Roman No9 L" w:hAnsi="Nimbus Roman No9 L" w:eastAsia="方正仿宋_GBK" w:cs="Nimbus Roman No9 L"/>
                <w:color w:val="auto"/>
                <w:sz w:val="24"/>
                <w:szCs w:val="24"/>
              </w:rPr>
              <w:t>2019</w:t>
            </w:r>
          </w:p>
        </w:tc>
        <w:tc>
          <w:tcPr>
            <w:tcW w:w="14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0.42</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0.42</w:t>
            </w:r>
          </w:p>
        </w:tc>
      </w:tr>
      <w:tr>
        <w:tblPrEx>
          <w:tblLayout w:type="fixed"/>
          <w:tblCellMar>
            <w:top w:w="0" w:type="dxa"/>
            <w:left w:w="0" w:type="dxa"/>
            <w:bottom w:w="0" w:type="dxa"/>
            <w:right w:w="0"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6</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省道S332线平远县大柘镇程西至大柘镇岭下村段</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路面改造</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二级</w:t>
            </w:r>
          </w:p>
        </w:tc>
        <w:tc>
          <w:tcPr>
            <w:tcW w:w="8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5.00</w:t>
            </w:r>
          </w:p>
        </w:tc>
        <w:tc>
          <w:tcPr>
            <w:tcW w:w="1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2017</w:t>
            </w:r>
            <w:r>
              <w:rPr>
                <w:rFonts w:hint="eastAsia" w:ascii="Nimbus Roman No9 L" w:hAnsi="Nimbus Roman No9 L" w:eastAsia="方正仿宋_GBK" w:cs="Nimbus Roman No9 L"/>
                <w:color w:val="auto"/>
                <w:sz w:val="24"/>
                <w:szCs w:val="24"/>
                <w:lang w:eastAsia="zh-CN"/>
              </w:rPr>
              <w:t>—</w:t>
            </w:r>
            <w:r>
              <w:rPr>
                <w:rFonts w:hint="eastAsia" w:ascii="Nimbus Roman No9 L" w:hAnsi="Nimbus Roman No9 L" w:eastAsia="方正仿宋_GBK" w:cs="Nimbus Roman No9 L"/>
                <w:color w:val="auto"/>
                <w:sz w:val="24"/>
                <w:szCs w:val="24"/>
              </w:rPr>
              <w:t>2018</w:t>
            </w:r>
          </w:p>
        </w:tc>
        <w:tc>
          <w:tcPr>
            <w:tcW w:w="14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0.33</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0.33</w:t>
            </w:r>
          </w:p>
        </w:tc>
      </w:tr>
      <w:tr>
        <w:tblPrEx>
          <w:tblLayout w:type="fixed"/>
          <w:tblCellMar>
            <w:top w:w="0" w:type="dxa"/>
            <w:left w:w="0" w:type="dxa"/>
            <w:bottom w:w="0" w:type="dxa"/>
            <w:right w:w="0"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7</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default"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S334线（原X036线）</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仁居至大畲坳段</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改造</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二级</w:t>
            </w:r>
          </w:p>
        </w:tc>
        <w:tc>
          <w:tcPr>
            <w:tcW w:w="8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13.5</w:t>
            </w:r>
          </w:p>
        </w:tc>
        <w:tc>
          <w:tcPr>
            <w:tcW w:w="1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2018</w:t>
            </w:r>
            <w:r>
              <w:rPr>
                <w:rFonts w:hint="eastAsia" w:ascii="Nimbus Roman No9 L" w:hAnsi="Nimbus Roman No9 L" w:eastAsia="方正仿宋_GBK" w:cs="Nimbus Roman No9 L"/>
                <w:color w:val="auto"/>
                <w:sz w:val="24"/>
                <w:szCs w:val="24"/>
                <w:lang w:eastAsia="zh-CN"/>
              </w:rPr>
              <w:t>—</w:t>
            </w:r>
            <w:r>
              <w:rPr>
                <w:rFonts w:hint="eastAsia" w:ascii="Nimbus Roman No9 L" w:hAnsi="Nimbus Roman No9 L" w:eastAsia="方正仿宋_GBK" w:cs="Nimbus Roman No9 L"/>
                <w:color w:val="auto"/>
                <w:sz w:val="24"/>
                <w:szCs w:val="24"/>
              </w:rPr>
              <w:t>2020</w:t>
            </w:r>
          </w:p>
        </w:tc>
        <w:tc>
          <w:tcPr>
            <w:tcW w:w="14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0.</w:t>
            </w:r>
            <w:r>
              <w:rPr>
                <w:rFonts w:hint="eastAsia" w:ascii="Nimbus Roman No9 L" w:hAnsi="Nimbus Roman No9 L" w:eastAsia="方正仿宋_GBK" w:cs="Nimbus Roman No9 L"/>
                <w:color w:val="auto"/>
                <w:sz w:val="24"/>
                <w:szCs w:val="24"/>
                <w:lang w:val="en-US" w:eastAsia="zh-CN"/>
              </w:rPr>
              <w:t>2</w:t>
            </w:r>
            <w:r>
              <w:rPr>
                <w:rFonts w:hint="eastAsia" w:ascii="Nimbus Roman No9 L" w:hAnsi="Nimbus Roman No9 L" w:eastAsia="方正仿宋_GBK" w:cs="Nimbus Roman No9 L"/>
                <w:color w:val="auto"/>
                <w:sz w:val="24"/>
                <w:szCs w:val="24"/>
              </w:rPr>
              <w:t>0</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0.2</w:t>
            </w:r>
          </w:p>
        </w:tc>
      </w:tr>
      <w:tr>
        <w:tblPrEx>
          <w:tblLayout w:type="fixed"/>
          <w:tblCellMar>
            <w:top w:w="0" w:type="dxa"/>
            <w:left w:w="0" w:type="dxa"/>
            <w:bottom w:w="0" w:type="dxa"/>
            <w:right w:w="0"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累计</w:t>
            </w:r>
          </w:p>
        </w:tc>
        <w:tc>
          <w:tcPr>
            <w:tcW w:w="3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eastAsia" w:ascii="Nimbus Roman No9 L" w:hAnsi="Nimbus Roman No9 L" w:eastAsia="方正仿宋_GBK" w:cs="Nimbus Roman No9 L"/>
                <w:color w:val="auto"/>
                <w:sz w:val="24"/>
                <w:szCs w:val="24"/>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105.49</w:t>
            </w:r>
          </w:p>
        </w:tc>
        <w:tc>
          <w:tcPr>
            <w:tcW w:w="1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rPr>
              <w:t>2.</w:t>
            </w:r>
            <w:r>
              <w:rPr>
                <w:rFonts w:hint="eastAsia" w:ascii="Nimbus Roman No9 L" w:hAnsi="Nimbus Roman No9 L" w:eastAsia="方正仿宋_GBK" w:cs="Nimbus Roman No9 L"/>
                <w:color w:val="auto"/>
                <w:sz w:val="24"/>
                <w:szCs w:val="24"/>
                <w:lang w:val="en-US" w:eastAsia="zh-CN"/>
              </w:rPr>
              <w:t>75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3.75</w:t>
            </w:r>
          </w:p>
        </w:tc>
      </w:tr>
    </w:tbl>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三五”时期，平远县省道建设共计7条，分别为省道S225线平远大柘镇至石正镇段，省道S225线（原X967线）平远县大柘至徐溪段，省道S239线（原X039线）长田至坝头段，省道S239线（原X037线）差干湍溪至上举畲脑段，省道S332线平远县东石镇十二排至东石镇茅坪村段，省道S332线平远县大柘镇程西至大柘镇岭下村段，S334线（原X036线）仁居至大畲坳段，共计105.49公里，“十三五”时期总投资为2.75亿元。</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③县道投资如表2-3所示。</w:t>
      </w:r>
    </w:p>
    <w:p>
      <w:pPr>
        <w:pageBreakBefore w:val="0"/>
        <w:widowControl w:val="0"/>
        <w:kinsoku/>
        <w:wordWrap/>
        <w:overflowPunct/>
        <w:topLinePunct w:val="0"/>
        <w:autoSpaceDE/>
        <w:autoSpaceDN/>
        <w:bidi w:val="0"/>
        <w:adjustRightInd/>
        <w:snapToGrid/>
        <w:spacing w:line="560" w:lineRule="exact"/>
        <w:ind w:firstLine="588"/>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平远县现有县道共8条，路线共长68.408km。项目其他信息如表2-3所示。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default"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表2-3  平远县“十三五”时期开展项目前期工作表</w:t>
      </w:r>
    </w:p>
    <w:tbl>
      <w:tblPr>
        <w:tblStyle w:val="22"/>
        <w:tblW w:w="9344" w:type="dxa"/>
        <w:jc w:val="center"/>
        <w:tblInd w:w="0" w:type="dxa"/>
        <w:tblLayout w:type="fixed"/>
        <w:tblCellMar>
          <w:top w:w="0" w:type="dxa"/>
          <w:left w:w="0" w:type="dxa"/>
          <w:bottom w:w="0" w:type="dxa"/>
          <w:right w:w="0" w:type="dxa"/>
        </w:tblCellMar>
      </w:tblPr>
      <w:tblGrid>
        <w:gridCol w:w="862"/>
        <w:gridCol w:w="3530"/>
        <w:gridCol w:w="1551"/>
        <w:gridCol w:w="1553"/>
        <w:gridCol w:w="1848"/>
      </w:tblGrid>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序号</w:t>
            </w:r>
          </w:p>
        </w:tc>
        <w:tc>
          <w:tcPr>
            <w:tcW w:w="3530"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名称</w:t>
            </w:r>
          </w:p>
        </w:tc>
        <w:tc>
          <w:tcPr>
            <w:tcW w:w="155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建设状态</w:t>
            </w:r>
          </w:p>
        </w:tc>
        <w:tc>
          <w:tcPr>
            <w:tcW w:w="155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建设内容</w:t>
            </w:r>
          </w:p>
        </w:tc>
        <w:tc>
          <w:tcPr>
            <w:tcW w:w="184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建设里程（km）</w:t>
            </w:r>
          </w:p>
        </w:tc>
      </w:tr>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X038线东石至泗水</w:t>
            </w: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项目前期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升级改造</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14.246</w:t>
            </w:r>
          </w:p>
        </w:tc>
      </w:tr>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X040</w:t>
            </w:r>
            <w:r>
              <w:rPr>
                <w:rFonts w:hint="eastAsia" w:ascii="Nimbus Roman No9 L" w:hAnsi="Nimbus Roman No9 L" w:eastAsia="方正仿宋_GBK" w:cs="Nimbus Roman No9 L"/>
                <w:color w:val="auto"/>
                <w:sz w:val="24"/>
                <w:szCs w:val="24"/>
                <w:lang w:val="en-US" w:eastAsia="zh-CN"/>
              </w:rPr>
              <w:t>线</w:t>
            </w:r>
            <w:r>
              <w:rPr>
                <w:rFonts w:hint="eastAsia" w:ascii="Nimbus Roman No9 L" w:hAnsi="Nimbus Roman No9 L" w:eastAsia="方正仿宋_GBK" w:cs="Nimbus Roman No9 L"/>
                <w:color w:val="auto"/>
                <w:sz w:val="24"/>
                <w:szCs w:val="24"/>
              </w:rPr>
              <w:t>赤鸡坳至肥田</w:t>
            </w: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项目前期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升级改造</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15.376</w:t>
            </w:r>
          </w:p>
        </w:tc>
      </w:tr>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X041线快湖至黄田水库</w:t>
            </w: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项目前期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升级改造</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3.17</w:t>
            </w:r>
          </w:p>
        </w:tc>
      </w:tr>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X042线大士宫至仲石</w:t>
            </w: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项目前期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升级改造</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6.685</w:t>
            </w:r>
          </w:p>
        </w:tc>
      </w:tr>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X959线大官头至蕉留</w:t>
            </w: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项目前期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升级改造</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7.2</w:t>
            </w:r>
          </w:p>
        </w:tc>
      </w:tr>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X020线石正至马山</w:t>
            </w: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项目前期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升级改造</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4.475</w:t>
            </w:r>
          </w:p>
        </w:tc>
      </w:tr>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X965线河头至田螺纽</w:t>
            </w: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项目前期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升级改造</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10.36</w:t>
            </w:r>
          </w:p>
        </w:tc>
      </w:tr>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X966</w:t>
            </w:r>
            <w:r>
              <w:rPr>
                <w:rFonts w:hint="eastAsia" w:ascii="Nimbus Roman No9 L" w:hAnsi="Nimbus Roman No9 L" w:eastAsia="方正仿宋_GBK" w:cs="Nimbus Roman No9 L"/>
                <w:color w:val="auto"/>
                <w:sz w:val="24"/>
                <w:szCs w:val="24"/>
                <w:lang w:val="en-US" w:eastAsia="zh-CN"/>
              </w:rPr>
              <w:t>线</w:t>
            </w:r>
            <w:r>
              <w:rPr>
                <w:rFonts w:hint="eastAsia" w:ascii="Nimbus Roman No9 L" w:hAnsi="Nimbus Roman No9 L" w:eastAsia="方正仿宋_GBK" w:cs="Nimbus Roman No9 L"/>
                <w:color w:val="auto"/>
                <w:sz w:val="24"/>
                <w:szCs w:val="24"/>
              </w:rPr>
              <w:t>吾良</w:t>
            </w:r>
            <w:r>
              <w:rPr>
                <w:rFonts w:hint="eastAsia" w:ascii="Nimbus Roman No9 L" w:hAnsi="Nimbus Roman No9 L" w:eastAsia="方正仿宋_GBK" w:cs="Nimbus Roman No9 L"/>
                <w:color w:val="auto"/>
                <w:sz w:val="24"/>
                <w:szCs w:val="24"/>
                <w:lang w:val="en-US" w:eastAsia="zh-CN"/>
              </w:rPr>
              <w:t>畲</w:t>
            </w:r>
            <w:r>
              <w:rPr>
                <w:rFonts w:hint="eastAsia" w:ascii="Nimbus Roman No9 L" w:hAnsi="Nimbus Roman No9 L" w:eastAsia="方正仿宋_GBK" w:cs="Nimbus Roman No9 L"/>
                <w:color w:val="auto"/>
                <w:sz w:val="24"/>
                <w:szCs w:val="24"/>
              </w:rPr>
              <w:t>至筠竹</w:t>
            </w: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项目前期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升级改造</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6.896</w:t>
            </w:r>
          </w:p>
        </w:tc>
      </w:tr>
      <w:tr>
        <w:tblPrEx>
          <w:tblLayout w:type="fixed"/>
          <w:tblCellMar>
            <w:top w:w="0" w:type="dxa"/>
            <w:left w:w="0" w:type="dxa"/>
            <w:bottom w:w="0" w:type="dxa"/>
            <w:right w:w="0" w:type="dxa"/>
          </w:tblCellMar>
        </w:tblPrEx>
        <w:trPr>
          <w:trHeight w:val="425"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小计</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68.408</w:t>
            </w:r>
          </w:p>
        </w:tc>
      </w:tr>
    </w:tbl>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2.2.3城市公交</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截至2020年，平远县县内公交线路共6条，总里程数为194公里，具体信息及经过站点如表2-4。</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表2-4  平远县现有公交线路</w:t>
      </w:r>
    </w:p>
    <w:tbl>
      <w:tblPr>
        <w:tblStyle w:val="22"/>
        <w:tblW w:w="9295" w:type="dxa"/>
        <w:jc w:val="center"/>
        <w:tblInd w:w="0" w:type="dxa"/>
        <w:tblLayout w:type="fixed"/>
        <w:tblCellMar>
          <w:top w:w="0" w:type="dxa"/>
          <w:left w:w="108" w:type="dxa"/>
          <w:bottom w:w="0" w:type="dxa"/>
          <w:right w:w="108" w:type="dxa"/>
        </w:tblCellMar>
      </w:tblPr>
      <w:tblGrid>
        <w:gridCol w:w="1242"/>
        <w:gridCol w:w="810"/>
        <w:gridCol w:w="787"/>
        <w:gridCol w:w="4650"/>
        <w:gridCol w:w="1806"/>
      </w:tblGrid>
      <w:tr>
        <w:tblPrEx>
          <w:tblLayout w:type="fixed"/>
          <w:tblCellMar>
            <w:top w:w="0" w:type="dxa"/>
            <w:left w:w="108" w:type="dxa"/>
            <w:bottom w:w="0" w:type="dxa"/>
            <w:right w:w="108" w:type="dxa"/>
          </w:tblCellMar>
        </w:tblPrEx>
        <w:trPr>
          <w:trHeight w:val="567" w:hRule="atLeast"/>
          <w:jc w:val="center"/>
        </w:trPr>
        <w:tc>
          <w:tcPr>
            <w:tcW w:w="9295" w:type="dxa"/>
            <w:gridSpan w:val="5"/>
            <w:tcBorders>
              <w:top w:val="single" w:color="000000" w:sz="4" w:space="0"/>
              <w:left w:val="single" w:color="000000" w:sz="4" w:space="0"/>
              <w:bottom w:val="single" w:color="000000" w:sz="4" w:space="0"/>
              <w:right w:val="single" w:color="000000" w:sz="4" w:space="0"/>
            </w:tcBorders>
            <w:shd w:val="clear" w:color="auto" w:fill="DEEBF6" w:themeFill="accent1" w:themeFillTint="32"/>
            <w:vAlign w:val="center"/>
          </w:tcPr>
          <w:p>
            <w:pPr>
              <w:pStyle w:val="35"/>
              <w:rPr>
                <w:color w:val="auto"/>
              </w:rPr>
            </w:pPr>
            <w:r>
              <w:rPr>
                <w:rFonts w:hint="eastAsia"/>
                <w:color w:val="auto"/>
                <w:sz w:val="28"/>
                <w:szCs w:val="28"/>
              </w:rPr>
              <w:t>平远县现有城乡公共交通网络</w:t>
            </w:r>
          </w:p>
        </w:tc>
      </w:tr>
      <w:tr>
        <w:tblPrEx>
          <w:tblLayout w:type="fixed"/>
          <w:tblCellMar>
            <w:top w:w="0" w:type="dxa"/>
            <w:left w:w="108" w:type="dxa"/>
            <w:bottom w:w="0" w:type="dxa"/>
            <w:right w:w="108" w:type="dxa"/>
          </w:tblCellMar>
        </w:tblPrEx>
        <w:trPr>
          <w:trHeight w:val="567"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rPr>
                <w:rFonts w:hint="eastAsia" w:cs="宋体"/>
                <w:color w:val="auto"/>
                <w:sz w:val="28"/>
                <w:szCs w:val="28"/>
              </w:rPr>
            </w:pPr>
            <w:r>
              <w:rPr>
                <w:rFonts w:hint="eastAsia" w:cs="宋体"/>
                <w:color w:val="auto"/>
                <w:sz w:val="28"/>
                <w:szCs w:val="28"/>
              </w:rPr>
              <w:t>线路</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rPr>
                <w:rFonts w:hint="eastAsia" w:cs="宋体"/>
                <w:color w:val="auto"/>
                <w:sz w:val="28"/>
                <w:szCs w:val="28"/>
              </w:rPr>
            </w:pPr>
            <w:r>
              <w:rPr>
                <w:rFonts w:hint="eastAsia" w:cs="宋体"/>
                <w:color w:val="auto"/>
                <w:sz w:val="28"/>
                <w:szCs w:val="28"/>
              </w:rPr>
              <w:t>起点</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rPr>
                <w:rFonts w:hint="eastAsia" w:cs="宋体"/>
                <w:color w:val="auto"/>
                <w:sz w:val="28"/>
                <w:szCs w:val="28"/>
              </w:rPr>
            </w:pPr>
            <w:r>
              <w:rPr>
                <w:rFonts w:hint="eastAsia" w:cs="宋体"/>
                <w:color w:val="auto"/>
                <w:sz w:val="28"/>
                <w:szCs w:val="28"/>
              </w:rPr>
              <w:t>终点</w:t>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rPr>
                <w:rFonts w:hint="eastAsia" w:cs="宋体"/>
                <w:color w:val="auto"/>
                <w:sz w:val="28"/>
                <w:szCs w:val="28"/>
              </w:rPr>
            </w:pPr>
            <w:r>
              <w:rPr>
                <w:rFonts w:hint="eastAsia" w:cs="宋体"/>
                <w:color w:val="auto"/>
                <w:sz w:val="28"/>
                <w:szCs w:val="28"/>
              </w:rPr>
              <w:t>途经</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rPr>
                <w:rFonts w:hint="eastAsia" w:cs="宋体"/>
                <w:color w:val="auto"/>
                <w:sz w:val="28"/>
                <w:szCs w:val="28"/>
              </w:rPr>
            </w:pPr>
            <w:r>
              <w:rPr>
                <w:rFonts w:hint="eastAsia" w:cs="宋体"/>
                <w:color w:val="auto"/>
                <w:sz w:val="28"/>
                <w:szCs w:val="28"/>
              </w:rPr>
              <w:t>备注</w:t>
            </w:r>
          </w:p>
        </w:tc>
      </w:tr>
      <w:tr>
        <w:tblPrEx>
          <w:tblLayout w:type="fixed"/>
          <w:tblCellMar>
            <w:top w:w="0" w:type="dxa"/>
            <w:left w:w="108" w:type="dxa"/>
            <w:bottom w:w="0" w:type="dxa"/>
            <w:right w:w="108" w:type="dxa"/>
          </w:tblCellMar>
        </w:tblPrEx>
        <w:trPr>
          <w:trHeight w:val="567"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1号线（城</w:t>
            </w:r>
            <w:r>
              <w:rPr>
                <w:rFonts w:hint="eastAsia" w:ascii="Nimbus Roman No9 L" w:hAnsi="Nimbus Roman No9 L" w:eastAsia="方正仿宋_GBK" w:cs="Nimbus Roman No9 L"/>
                <w:color w:val="auto"/>
                <w:spacing w:val="-6"/>
                <w:sz w:val="24"/>
                <w:szCs w:val="24"/>
              </w:rPr>
              <w:t>区环北线）</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行政服务中心</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行政服务中心</w:t>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汽车总站→</w:t>
            </w:r>
            <w:r>
              <w:rPr>
                <w:rFonts w:hint="eastAsia" w:ascii="Nimbus Roman No9 L" w:hAnsi="Nimbus Roman No9 L" w:eastAsia="方正仿宋_GBK" w:cs="Nimbus Roman No9 L"/>
                <w:b w:val="0"/>
                <w:bCs w:val="0"/>
                <w:color w:val="000000" w:themeColor="text1"/>
                <w:sz w:val="24"/>
                <w:szCs w:val="24"/>
                <w:lang w:val="en-US" w:eastAsia="zh-CN"/>
                <w14:textFill>
                  <w14:solidFill>
                    <w14:schemeClr w14:val="tx1"/>
                  </w14:solidFill>
                </w14:textFill>
              </w:rPr>
              <w:t>县妇保院</w:t>
            </w:r>
            <w:r>
              <w:rPr>
                <w:rFonts w:hint="eastAsia" w:ascii="Nimbus Roman No9 L" w:hAnsi="Nimbus Roman No9 L" w:eastAsia="方正仿宋_GBK" w:cs="Nimbus Roman No9 L"/>
                <w:color w:val="000000" w:themeColor="text1"/>
                <w:sz w:val="24"/>
                <w:szCs w:val="24"/>
                <w14:textFill>
                  <w14:solidFill>
                    <w14:schemeClr w14:val="tx1"/>
                  </w14:solidFill>
                </w14:textFill>
              </w:rPr>
              <w:t>→</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公安局→（平城花园南实验小学）→</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县税务</w:t>
            </w:r>
            <w:r>
              <w:rPr>
                <w:rFonts w:hint="eastAsia" w:ascii="Nimbus Roman No9 L" w:hAnsi="Nimbus Roman No9 L" w:eastAsia="方正仿宋_GBK" w:cs="Nimbus Roman No9 L"/>
                <w:color w:val="000000" w:themeColor="text1"/>
                <w:sz w:val="24"/>
                <w:szCs w:val="24"/>
                <w14:textFill>
                  <w14:solidFill>
                    <w14:schemeClr w14:val="tx1"/>
                  </w14:solidFill>
                </w14:textFill>
              </w:rPr>
              <w:t>局→新田花园→上田心→墩背→梅青中学→河岭→宜华木业→电力公司→跃进岗→</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农业</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农村</w:t>
            </w:r>
            <w:r>
              <w:rPr>
                <w:rFonts w:hint="eastAsia" w:ascii="Nimbus Roman No9 L" w:hAnsi="Nimbus Roman No9 L" w:eastAsia="方正仿宋_GBK" w:cs="Nimbus Roman No9 L"/>
                <w:color w:val="000000" w:themeColor="text1"/>
                <w:sz w:val="24"/>
                <w:szCs w:val="24"/>
                <w14:textFill>
                  <w14:solidFill>
                    <w14:schemeClr w14:val="tx1"/>
                  </w14:solidFill>
                </w14:textFill>
              </w:rPr>
              <w:t>局→老车站→</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财政局→官田广场→</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民政局→</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市生态环境局平远分局</w:t>
            </w:r>
            <w:r>
              <w:rPr>
                <w:rFonts w:hint="eastAsia" w:ascii="Nimbus Roman No9 L" w:hAnsi="Nimbus Roman No9 L" w:eastAsia="方正仿宋_GBK" w:cs="Nimbus Roman No9 L"/>
                <w:color w:val="000000" w:themeColor="text1"/>
                <w:sz w:val="24"/>
                <w:szCs w:val="24"/>
                <w14:textFill>
                  <w14:solidFill>
                    <w14:schemeClr w14:val="tx1"/>
                  </w14:solidFill>
                </w14:textFill>
              </w:rPr>
              <w:t>→汽车总站</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循环运行。平城花园南、实验小学在上学放学时间开，其他时间平远大道直行</w:t>
            </w:r>
          </w:p>
        </w:tc>
      </w:tr>
      <w:tr>
        <w:tblPrEx>
          <w:tblLayout w:type="fixed"/>
          <w:tblCellMar>
            <w:top w:w="0" w:type="dxa"/>
            <w:left w:w="108" w:type="dxa"/>
            <w:bottom w:w="0" w:type="dxa"/>
            <w:right w:w="108" w:type="dxa"/>
          </w:tblCellMar>
        </w:tblPrEx>
        <w:trPr>
          <w:trHeight w:val="567"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2号线（城</w:t>
            </w:r>
            <w:r>
              <w:rPr>
                <w:rFonts w:hint="eastAsia" w:ascii="Nimbus Roman No9 L" w:hAnsi="Nimbus Roman No9 L" w:eastAsia="方正仿宋_GBK" w:cs="Nimbus Roman No9 L"/>
                <w:color w:val="auto"/>
                <w:spacing w:val="-6"/>
                <w:sz w:val="24"/>
                <w:szCs w:val="24"/>
              </w:rPr>
              <w:t>区环东线）</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汽车总站</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汽车总站</w:t>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优山美地→南湖公园→车上→梅东→公交站→桐子园→鸿禧中心城→电力公司→跃进岗→</w:t>
            </w:r>
            <w:r>
              <w:rPr>
                <w:rFonts w:hint="eastAsia" w:ascii="Nimbus Roman No9 L" w:hAnsi="Nimbus Roman No9 L" w:eastAsia="方正仿宋_GBK" w:cs="Nimbus Roman No9 L"/>
                <w:b w:val="0"/>
                <w:bCs w:val="0"/>
                <w:color w:val="000000" w:themeColor="text1"/>
                <w:sz w:val="24"/>
                <w:szCs w:val="24"/>
                <w:lang w:val="en-US" w:eastAsia="zh-CN"/>
                <w14:textFill>
                  <w14:solidFill>
                    <w14:schemeClr w14:val="tx1"/>
                  </w14:solidFill>
                </w14:textFill>
              </w:rPr>
              <w:t>县住建</w:t>
            </w:r>
            <w:r>
              <w:rPr>
                <w:rFonts w:hint="eastAsia" w:ascii="Nimbus Roman No9 L" w:hAnsi="Nimbus Roman No9 L" w:eastAsia="方正仿宋_GBK" w:cs="Nimbus Roman No9 L"/>
                <w:b w:val="0"/>
                <w:bCs w:val="0"/>
                <w:color w:val="000000" w:themeColor="text1"/>
                <w:sz w:val="24"/>
                <w:szCs w:val="24"/>
                <w14:textFill>
                  <w14:solidFill>
                    <w14:schemeClr w14:val="tx1"/>
                  </w14:solidFill>
                </w14:textFill>
              </w:rPr>
              <w:t>局</w:t>
            </w:r>
            <w:r>
              <w:rPr>
                <w:rFonts w:hint="eastAsia" w:ascii="Nimbus Roman No9 L" w:hAnsi="Nimbus Roman No9 L" w:eastAsia="方正仿宋_GBK" w:cs="Nimbus Roman No9 L"/>
                <w:color w:val="000000" w:themeColor="text1"/>
                <w:sz w:val="24"/>
                <w:szCs w:val="24"/>
                <w14:textFill>
                  <w14:solidFill>
                    <w14:schemeClr w14:val="tx1"/>
                  </w14:solidFill>
                </w14:textFill>
              </w:rPr>
              <w:t>→</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交通</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运输</w:t>
            </w:r>
            <w:r>
              <w:rPr>
                <w:rFonts w:hint="eastAsia" w:ascii="Nimbus Roman No9 L" w:hAnsi="Nimbus Roman No9 L" w:eastAsia="方正仿宋_GBK" w:cs="Nimbus Roman No9 L"/>
                <w:color w:val="000000" w:themeColor="text1"/>
                <w:sz w:val="24"/>
                <w:szCs w:val="24"/>
                <w14:textFill>
                  <w14:solidFill>
                    <w14:schemeClr w14:val="tx1"/>
                  </w14:solidFill>
                </w14:textFill>
              </w:rPr>
              <w:t>局→新岭路→</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县税务</w:t>
            </w:r>
            <w:r>
              <w:rPr>
                <w:rFonts w:hint="eastAsia" w:ascii="Nimbus Roman No9 L" w:hAnsi="Nimbus Roman No9 L" w:eastAsia="方正仿宋_GBK" w:cs="Nimbus Roman No9 L"/>
                <w:color w:val="000000" w:themeColor="text1"/>
                <w:sz w:val="24"/>
                <w:szCs w:val="24"/>
                <w14:textFill>
                  <w14:solidFill>
                    <w14:schemeClr w14:val="tx1"/>
                  </w14:solidFill>
                </w14:textFill>
              </w:rPr>
              <w:t>局→（平城花园南→实验小学）→</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公安局→</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市生态环境局平远分局</w:t>
            </w:r>
            <w:r>
              <w:rPr>
                <w:rFonts w:hint="eastAsia" w:ascii="Nimbus Roman No9 L" w:hAnsi="Nimbus Roman No9 L" w:eastAsia="方正仿宋_GBK" w:cs="Nimbus Roman No9 L"/>
                <w:color w:val="000000" w:themeColor="text1"/>
                <w:sz w:val="24"/>
                <w:szCs w:val="24"/>
                <w14:textFill>
                  <w14:solidFill>
                    <w14:schemeClr w14:val="tx1"/>
                  </w14:solidFill>
                </w14:textFill>
              </w:rPr>
              <w:t>→优山美地</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循环运行。平城花园南、实验小学在上学放学时间开，其他时间平远大道直行</w:t>
            </w:r>
          </w:p>
        </w:tc>
      </w:tr>
      <w:tr>
        <w:tblPrEx>
          <w:tblLayout w:type="fixed"/>
          <w:tblCellMar>
            <w:top w:w="0" w:type="dxa"/>
            <w:left w:w="108" w:type="dxa"/>
            <w:bottom w:w="0" w:type="dxa"/>
            <w:right w:w="108" w:type="dxa"/>
          </w:tblCellMar>
        </w:tblPrEx>
        <w:trPr>
          <w:trHeight w:val="567"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3号线（东</w:t>
            </w:r>
            <w:r>
              <w:rPr>
                <w:rFonts w:hint="eastAsia" w:ascii="Nimbus Roman No9 L" w:hAnsi="Nimbus Roman No9 L" w:eastAsia="方正仿宋_GBK" w:cs="Nimbus Roman No9 L"/>
                <w:color w:val="auto"/>
                <w:spacing w:val="-6"/>
                <w:sz w:val="24"/>
                <w:szCs w:val="24"/>
              </w:rPr>
              <w:t>石—石正）</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东石镇政府</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石正站</w:t>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东石车站→双石→大屋→杉园子→车子岗→山下→程坑里→程北→支路口→虾公山→程西→河陂水→原氮肥厂→宜华木业→电力公司→大柘镇</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人民</w:t>
            </w:r>
            <w:r>
              <w:rPr>
                <w:rFonts w:hint="eastAsia" w:ascii="Nimbus Roman No9 L" w:hAnsi="Nimbus Roman No9 L" w:eastAsia="方正仿宋_GBK" w:cs="Nimbus Roman No9 L"/>
                <w:color w:val="000000" w:themeColor="text1"/>
                <w:sz w:val="24"/>
                <w:szCs w:val="24"/>
                <w14:textFill>
                  <w14:solidFill>
                    <w14:schemeClr w14:val="tx1"/>
                  </w14:solidFill>
                </w14:textFill>
              </w:rPr>
              <w:t>政府（关柘路口）→</w:t>
            </w: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县林业</w:t>
            </w:r>
            <w:r>
              <w:rPr>
                <w:rFonts w:hint="eastAsia" w:ascii="Nimbus Roman No9 L" w:hAnsi="Nimbus Roman No9 L" w:eastAsia="方正仿宋_GBK" w:cs="Nimbus Roman No9 L"/>
                <w:color w:val="000000" w:themeColor="text1"/>
                <w:sz w:val="24"/>
                <w:szCs w:val="24"/>
                <w14:textFill>
                  <w14:solidFill>
                    <w14:schemeClr w14:val="tx1"/>
                  </w14:solidFill>
                </w14:textFill>
              </w:rPr>
              <w:t>局→老车站→邮政</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平远分</w:t>
            </w:r>
            <w:r>
              <w:rPr>
                <w:rFonts w:hint="eastAsia" w:ascii="Nimbus Roman No9 L" w:hAnsi="Nimbus Roman No9 L" w:eastAsia="方正仿宋_GBK" w:cs="Nimbus Roman No9 L"/>
                <w:color w:val="000000" w:themeColor="text1"/>
                <w:sz w:val="24"/>
                <w:szCs w:val="24"/>
                <w14:textFill>
                  <w14:solidFill>
                    <w14:schemeClr w14:val="tx1"/>
                  </w14:solidFill>
                </w14:textFill>
              </w:rPr>
              <w:t>局→官田花园→</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民政局→</w:t>
            </w: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eastAsia" w:ascii="Nimbus Roman No9 L" w:hAnsi="Nimbus Roman No9 L" w:eastAsia="方正仿宋_GBK" w:cs="Nimbus Roman No9 L"/>
                <w:color w:val="000000" w:themeColor="text1"/>
                <w:sz w:val="24"/>
                <w:szCs w:val="24"/>
                <w14:textFill>
                  <w14:solidFill>
                    <w14:schemeClr w14:val="tx1"/>
                  </w14:solidFill>
                </w14:textFill>
              </w:rPr>
              <w:t>→汽车总站→富港酒店→丰光→工业园1、2期→鼎盛木业→黄花陂→工业园3期→南台</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东石石正对开往返。全程30公里，新能源车4台</w:t>
            </w:r>
          </w:p>
        </w:tc>
      </w:tr>
      <w:tr>
        <w:tblPrEx>
          <w:tblLayout w:type="fixed"/>
          <w:tblCellMar>
            <w:top w:w="0" w:type="dxa"/>
            <w:left w:w="108" w:type="dxa"/>
            <w:bottom w:w="0" w:type="dxa"/>
            <w:right w:w="108" w:type="dxa"/>
          </w:tblCellMar>
        </w:tblPrEx>
        <w:trPr>
          <w:trHeight w:val="567"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4号线（八尺镇）</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汽车总站</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八尺车站</w:t>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eastAsia" w:ascii="Nimbus Roman No9 L" w:hAnsi="Nimbus Roman No9 L" w:eastAsia="方正仿宋_GBK" w:cs="Nimbus Roman No9 L"/>
                <w:color w:val="000000" w:themeColor="text1"/>
                <w:sz w:val="24"/>
                <w:szCs w:val="24"/>
                <w14:textFill>
                  <w14:solidFill>
                    <w14:schemeClr w14:val="tx1"/>
                  </w14:solidFill>
                </w14:textFill>
              </w:rPr>
              <w:t>→</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民政局→官田广场→邮政</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平远分公司</w:t>
            </w:r>
            <w:r>
              <w:rPr>
                <w:rFonts w:hint="eastAsia" w:ascii="Nimbus Roman No9 L" w:hAnsi="Nimbus Roman No9 L" w:eastAsia="方正仿宋_GBK" w:cs="Nimbus Roman No9 L"/>
                <w:color w:val="000000" w:themeColor="text1"/>
                <w:sz w:val="24"/>
                <w:szCs w:val="24"/>
                <w14:textFill>
                  <w14:solidFill>
                    <w14:schemeClr w14:val="tx1"/>
                  </w14:solidFill>
                </w14:textFill>
              </w:rPr>
              <w:t>→老车站→</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交通</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运输</w:t>
            </w:r>
            <w:r>
              <w:rPr>
                <w:rFonts w:hint="eastAsia" w:ascii="Nimbus Roman No9 L" w:hAnsi="Nimbus Roman No9 L" w:eastAsia="方正仿宋_GBK" w:cs="Nimbus Roman No9 L"/>
                <w:color w:val="000000" w:themeColor="text1"/>
                <w:sz w:val="24"/>
                <w:szCs w:val="24"/>
                <w14:textFill>
                  <w14:solidFill>
                    <w14:schemeClr w14:val="tx1"/>
                  </w14:solidFill>
                </w14:textFill>
              </w:rPr>
              <w:t>局→新岭路→</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林业</w:t>
            </w:r>
            <w:r>
              <w:rPr>
                <w:rFonts w:hint="eastAsia" w:ascii="Nimbus Roman No9 L" w:hAnsi="Nimbus Roman No9 L" w:eastAsia="方正仿宋_GBK" w:cs="Nimbus Roman No9 L"/>
                <w:color w:val="000000" w:themeColor="text1"/>
                <w:sz w:val="24"/>
                <w:szCs w:val="24"/>
                <w14:textFill>
                  <w14:solidFill>
                    <w14:schemeClr w14:val="tx1"/>
                  </w14:solidFill>
                </w14:textFill>
              </w:rPr>
              <w:t>局→平城花园→鑫宝汽车→通达油站→南药公司→田螺纽→新茶亭→吾良畲→良畲→盐布潭→下村→大士宫→中行镇→快湖→底背村→金穗山庄→樟田→原八尺收费站→八尺代售票点</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往返、全程31公里，新能源车9台</w:t>
            </w:r>
          </w:p>
        </w:tc>
      </w:tr>
      <w:tr>
        <w:tblPrEx>
          <w:tblLayout w:type="fixed"/>
          <w:tblCellMar>
            <w:top w:w="0" w:type="dxa"/>
            <w:left w:w="108" w:type="dxa"/>
            <w:bottom w:w="0" w:type="dxa"/>
            <w:right w:w="108" w:type="dxa"/>
          </w:tblCellMar>
        </w:tblPrEx>
        <w:trPr>
          <w:trHeight w:val="567"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5号线（河头镇）</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汽车总站</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河头站</w:t>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eastAsia" w:ascii="Nimbus Roman No9 L" w:hAnsi="Nimbus Roman No9 L" w:eastAsia="方正仿宋_GBK" w:cs="Nimbus Roman No9 L"/>
                <w:color w:val="000000" w:themeColor="text1"/>
                <w:sz w:val="24"/>
                <w:szCs w:val="24"/>
                <w14:textFill>
                  <w14:solidFill>
                    <w14:schemeClr w14:val="tx1"/>
                  </w14:solidFill>
                </w14:textFill>
              </w:rPr>
              <w:t>→</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民政局→官田广场→邮政</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平远分公司</w:t>
            </w:r>
            <w:r>
              <w:rPr>
                <w:rFonts w:hint="eastAsia" w:ascii="Nimbus Roman No9 L" w:hAnsi="Nimbus Roman No9 L" w:eastAsia="方正仿宋_GBK" w:cs="Nimbus Roman No9 L"/>
                <w:color w:val="000000" w:themeColor="text1"/>
                <w:sz w:val="24"/>
                <w:szCs w:val="24"/>
                <w14:textFill>
                  <w14:solidFill>
                    <w14:schemeClr w14:val="tx1"/>
                  </w14:solidFill>
                </w14:textFill>
              </w:rPr>
              <w:t>→老车站→</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交通</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运输</w:t>
            </w:r>
            <w:r>
              <w:rPr>
                <w:rFonts w:hint="eastAsia" w:ascii="Nimbus Roman No9 L" w:hAnsi="Nimbus Roman No9 L" w:eastAsia="方正仿宋_GBK" w:cs="Nimbus Roman No9 L"/>
                <w:color w:val="000000" w:themeColor="text1"/>
                <w:sz w:val="24"/>
                <w:szCs w:val="24"/>
                <w14:textFill>
                  <w14:solidFill>
                    <w14:schemeClr w14:val="tx1"/>
                  </w14:solidFill>
                </w14:textFill>
              </w:rPr>
              <w:t>局→平岗路兵营子→榕树岗→公路站→通达油站→南药公司→田螺纽→柞树径→双溪→向阳→田心</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往返、全程15公里，新能源车4台</w:t>
            </w:r>
          </w:p>
        </w:tc>
      </w:tr>
      <w:tr>
        <w:tblPrEx>
          <w:tblLayout w:type="fixed"/>
          <w:tblCellMar>
            <w:top w:w="0" w:type="dxa"/>
            <w:left w:w="108" w:type="dxa"/>
            <w:bottom w:w="0" w:type="dxa"/>
            <w:right w:w="108" w:type="dxa"/>
          </w:tblCellMar>
        </w:tblPrEx>
        <w:trPr>
          <w:trHeight w:val="567"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6号线（差干镇）</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汽车总站</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五指石</w:t>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eastAsia" w:ascii="Nimbus Roman No9 L" w:hAnsi="Nimbus Roman No9 L" w:eastAsia="方正仿宋_GBK" w:cs="Nimbus Roman No9 L"/>
                <w:color w:val="000000" w:themeColor="text1"/>
                <w:sz w:val="24"/>
                <w:szCs w:val="24"/>
                <w14:textFill>
                  <w14:solidFill>
                    <w14:schemeClr w14:val="tx1"/>
                  </w14:solidFill>
                </w14:textFill>
              </w:rPr>
              <w:t>→</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民政局→官田广场→邮政</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平远分公司</w:t>
            </w:r>
            <w:r>
              <w:rPr>
                <w:rFonts w:hint="eastAsia" w:ascii="Nimbus Roman No9 L" w:hAnsi="Nimbus Roman No9 L" w:eastAsia="方正仿宋_GBK" w:cs="Nimbus Roman No9 L"/>
                <w:color w:val="000000" w:themeColor="text1"/>
                <w:sz w:val="24"/>
                <w:szCs w:val="24"/>
                <w14:textFill>
                  <w14:solidFill>
                    <w14:schemeClr w14:val="tx1"/>
                  </w14:solidFill>
                </w14:textFill>
              </w:rPr>
              <w:t>→老车站→</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w:t>
            </w:r>
            <w:r>
              <w:rPr>
                <w:rFonts w:hint="eastAsia" w:ascii="Nimbus Roman No9 L" w:hAnsi="Nimbus Roman No9 L" w:eastAsia="方正仿宋_GBK" w:cs="Nimbus Roman No9 L"/>
                <w:color w:val="000000" w:themeColor="text1"/>
                <w:sz w:val="24"/>
                <w:szCs w:val="24"/>
                <w14:textFill>
                  <w14:solidFill>
                    <w14:schemeClr w14:val="tx1"/>
                  </w14:solidFill>
                </w14:textFill>
              </w:rPr>
              <w:t>交通</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运输</w:t>
            </w:r>
            <w:r>
              <w:rPr>
                <w:rFonts w:hint="eastAsia" w:ascii="Nimbus Roman No9 L" w:hAnsi="Nimbus Roman No9 L" w:eastAsia="方正仿宋_GBK" w:cs="Nimbus Roman No9 L"/>
                <w:color w:val="000000" w:themeColor="text1"/>
                <w:sz w:val="24"/>
                <w:szCs w:val="24"/>
                <w14:textFill>
                  <w14:solidFill>
                    <w14:schemeClr w14:val="tx1"/>
                  </w14:solidFill>
                </w14:textFill>
              </w:rPr>
              <w:t>局→新岭路→</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县税务</w:t>
            </w:r>
            <w:r>
              <w:rPr>
                <w:rFonts w:hint="eastAsia" w:ascii="Nimbus Roman No9 L" w:hAnsi="Nimbus Roman No9 L" w:eastAsia="方正仿宋_GBK" w:cs="Nimbus Roman No9 L"/>
                <w:color w:val="000000" w:themeColor="text1"/>
                <w:sz w:val="24"/>
                <w:szCs w:val="24"/>
                <w14:textFill>
                  <w14:solidFill>
                    <w14:schemeClr w14:val="tx1"/>
                  </w14:solidFill>
                </w14:textFill>
              </w:rPr>
              <w:t>局→平城花园→鑫宝汽车→通达油站→南药公司→田螺纽→新茶亭→吾良畲→良畲→盐布潭→下村→大士宫→中行镇→快湖→底背村→金穗山庄→樟田→原八尺收费站→八尺代售票点→八尺车站→楼前→黄沙→上远→赤鸡坳→飞龙→仁居→井下→五福→云板岗→差干</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往返、全程58公里，新能源车5台</w:t>
            </w:r>
          </w:p>
        </w:tc>
      </w:tr>
    </w:tbl>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2.2.4区域物流</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平远县“十三五”时期区域物流投资如表2-5所示。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表2-5  平远县“十三五”时期物流园区建设投资表</w:t>
      </w:r>
    </w:p>
    <w:tbl>
      <w:tblPr>
        <w:tblStyle w:val="22"/>
        <w:tblW w:w="9241" w:type="dxa"/>
        <w:jc w:val="center"/>
        <w:tblInd w:w="0" w:type="dxa"/>
        <w:tblLayout w:type="fixed"/>
        <w:tblCellMar>
          <w:top w:w="0" w:type="dxa"/>
          <w:left w:w="0" w:type="dxa"/>
          <w:bottom w:w="0" w:type="dxa"/>
          <w:right w:w="0" w:type="dxa"/>
        </w:tblCellMar>
      </w:tblPr>
      <w:tblGrid>
        <w:gridCol w:w="585"/>
        <w:gridCol w:w="1129"/>
        <w:gridCol w:w="706"/>
        <w:gridCol w:w="706"/>
        <w:gridCol w:w="1693"/>
        <w:gridCol w:w="1134"/>
        <w:gridCol w:w="1361"/>
        <w:gridCol w:w="1020"/>
        <w:gridCol w:w="907"/>
      </w:tblGrid>
      <w:tr>
        <w:tblPrEx>
          <w:tblLayout w:type="fixed"/>
          <w:tblCellMar>
            <w:top w:w="0" w:type="dxa"/>
            <w:left w:w="0" w:type="dxa"/>
            <w:bottom w:w="0" w:type="dxa"/>
            <w:right w:w="0" w:type="dxa"/>
          </w:tblCellMar>
        </w:tblPrEx>
        <w:trPr>
          <w:trHeight w:val="454"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序号</w:t>
            </w: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项目名称</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建设性质</w:t>
            </w:r>
          </w:p>
        </w:tc>
        <w:tc>
          <w:tcPr>
            <w:tcW w:w="2399" w:type="dxa"/>
            <w:gridSpan w:val="2"/>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建设内容</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建设期限（年）</w:t>
            </w:r>
          </w:p>
        </w:tc>
        <w:tc>
          <w:tcPr>
            <w:tcW w:w="1361"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至2015年底累计完成投资（亿元）</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“十三五”</w:t>
            </w:r>
            <w:r>
              <w:rPr>
                <w:rFonts w:hint="eastAsia" w:ascii="Nimbus Roman No9 L" w:hAnsi="Nimbus Roman No9 L" w:cs="Nimbus Roman No9 L"/>
                <w:color w:val="auto"/>
                <w:lang w:eastAsia="zh-CN"/>
              </w:rPr>
              <w:t>时</w:t>
            </w:r>
            <w:r>
              <w:rPr>
                <w:rFonts w:hint="default" w:ascii="Nimbus Roman No9 L" w:hAnsi="Nimbus Roman No9 L" w:cs="Nimbus Roman No9 L"/>
                <w:color w:val="auto"/>
              </w:rPr>
              <w:t>期投资（亿元）</w:t>
            </w:r>
          </w:p>
        </w:tc>
        <w:tc>
          <w:tcPr>
            <w:tcW w:w="907"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总投资（亿元）</w:t>
            </w:r>
          </w:p>
        </w:tc>
      </w:tr>
      <w:tr>
        <w:tblPrEx>
          <w:tblLayout w:type="fixed"/>
          <w:tblCellMar>
            <w:top w:w="0" w:type="dxa"/>
            <w:left w:w="0" w:type="dxa"/>
            <w:bottom w:w="0" w:type="dxa"/>
            <w:right w:w="0" w:type="dxa"/>
          </w:tblCellMar>
        </w:tblPrEx>
        <w:trPr>
          <w:trHeight w:val="454"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706" w:type="dxa"/>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标准</w:t>
            </w:r>
          </w:p>
        </w:tc>
        <w:tc>
          <w:tcPr>
            <w:tcW w:w="1693" w:type="dxa"/>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规模(公里)</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136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90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r>
      <w:tr>
        <w:tblPrEx>
          <w:tblLayout w:type="fixed"/>
          <w:tblCellMar>
            <w:top w:w="0" w:type="dxa"/>
            <w:left w:w="0" w:type="dxa"/>
            <w:bottom w:w="0" w:type="dxa"/>
            <w:right w:w="0" w:type="dxa"/>
          </w:tblCellMar>
        </w:tblPrEx>
        <w:trPr>
          <w:trHeight w:val="45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1</w:t>
            </w:r>
          </w:p>
        </w:tc>
        <w:tc>
          <w:tcPr>
            <w:tcW w:w="11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平远县综合物流园</w:t>
            </w:r>
          </w:p>
        </w:tc>
        <w:tc>
          <w:tcPr>
            <w:tcW w:w="7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新建</w:t>
            </w:r>
          </w:p>
        </w:tc>
        <w:tc>
          <w:tcPr>
            <w:tcW w:w="70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default" w:ascii="Nimbus Roman No9 L" w:hAnsi="Nimbus Roman No9 L" w:eastAsia="方正仿宋_GBK" w:cs="Nimbus Roman No9 L"/>
                <w:color w:val="000000" w:themeColor="text1"/>
                <w:sz w:val="24"/>
                <w:szCs w:val="24"/>
                <w:lang w:val="en-US" w:eastAsia="zh-CN"/>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一级</w:t>
            </w:r>
          </w:p>
        </w:tc>
        <w:tc>
          <w:tcPr>
            <w:tcW w:w="169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占地200亩，通用集散型园区</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2018</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w:t>
            </w:r>
            <w:r>
              <w:rPr>
                <w:rFonts w:hint="eastAsia" w:ascii="Nimbus Roman No9 L" w:hAnsi="Nimbus Roman No9 L" w:eastAsia="方正仿宋_GBK" w:cs="Nimbus Roman No9 L"/>
                <w:color w:val="000000" w:themeColor="text1"/>
                <w:sz w:val="24"/>
                <w:szCs w:val="24"/>
                <w14:textFill>
                  <w14:solidFill>
                    <w14:schemeClr w14:val="tx1"/>
                  </w14:solidFill>
                </w14:textFill>
              </w:rPr>
              <w:t>202</w:t>
            </w: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default" w:ascii="Nimbus Roman No9 L" w:hAnsi="Nimbus Roman No9 L" w:eastAsia="方正仿宋_GBK" w:cs="Nimbus Roman No9 L"/>
                <w:color w:val="000000" w:themeColor="text1"/>
                <w:sz w:val="24"/>
                <w:szCs w:val="24"/>
                <w:lang w:val="en-US" w:eastAsia="zh-CN"/>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0.00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0.50</w:t>
            </w:r>
          </w:p>
        </w:tc>
        <w:tc>
          <w:tcPr>
            <w:tcW w:w="90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000000" w:themeColor="text1"/>
                <w:sz w:val="24"/>
                <w:szCs w:val="24"/>
                <w14:textFill>
                  <w14:solidFill>
                    <w14:schemeClr w14:val="tx1"/>
                  </w14:solidFill>
                </w14:textFill>
              </w:rPr>
            </w:pPr>
            <w:r>
              <w:rPr>
                <w:rFonts w:hint="eastAsia" w:ascii="Nimbus Roman No9 L" w:hAnsi="Nimbus Roman No9 L" w:eastAsia="方正仿宋_GBK" w:cs="Nimbus Roman No9 L"/>
                <w:color w:val="000000" w:themeColor="text1"/>
                <w:sz w:val="24"/>
                <w:szCs w:val="24"/>
                <w14:textFill>
                  <w14:solidFill>
                    <w14:schemeClr w14:val="tx1"/>
                  </w14:solidFill>
                </w14:textFill>
              </w:rPr>
              <w:t>3.00</w:t>
            </w:r>
          </w:p>
        </w:tc>
      </w:tr>
    </w:tbl>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平远县“十三五”规划中提出建设平远县综合物流园区，建设期限为2018—2022年，其占地为200亩，属于通用集散型物流园区。截止2020年，该物流园区总投入为0.5亿元，已完成物流园区建设投资的六分之一。</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2.2.5农村公路</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平远县“十三五”时期农村公路投资如表2-6所示。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default"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表2-6  平远县“十三五”时期农村公路建设投资表</w:t>
      </w:r>
    </w:p>
    <w:tbl>
      <w:tblPr>
        <w:tblStyle w:val="22"/>
        <w:tblW w:w="8801" w:type="dxa"/>
        <w:jc w:val="center"/>
        <w:tblInd w:w="0" w:type="dxa"/>
        <w:tblLayout w:type="fixed"/>
        <w:tblCellMar>
          <w:top w:w="0" w:type="dxa"/>
          <w:left w:w="0" w:type="dxa"/>
          <w:bottom w:w="0" w:type="dxa"/>
          <w:right w:w="0" w:type="dxa"/>
        </w:tblCellMar>
      </w:tblPr>
      <w:tblGrid>
        <w:gridCol w:w="580"/>
        <w:gridCol w:w="1814"/>
        <w:gridCol w:w="709"/>
        <w:gridCol w:w="705"/>
        <w:gridCol w:w="1245"/>
        <w:gridCol w:w="1648"/>
        <w:gridCol w:w="2100"/>
      </w:tblGrid>
      <w:tr>
        <w:tblPrEx>
          <w:tblLayout w:type="fixed"/>
          <w:tblCellMar>
            <w:top w:w="0" w:type="dxa"/>
            <w:left w:w="0" w:type="dxa"/>
            <w:bottom w:w="0" w:type="dxa"/>
            <w:right w:w="0" w:type="dxa"/>
          </w:tblCellMar>
        </w:tblPrEx>
        <w:trPr>
          <w:trHeight w:val="270" w:hRule="atLeast"/>
          <w:jc w:val="center"/>
        </w:trPr>
        <w:tc>
          <w:tcPr>
            <w:tcW w:w="580"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序号</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项目名称</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建设性质</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建设内容</w:t>
            </w:r>
          </w:p>
        </w:tc>
        <w:tc>
          <w:tcPr>
            <w:tcW w:w="1648"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建设期限（年）</w:t>
            </w:r>
          </w:p>
        </w:tc>
        <w:tc>
          <w:tcPr>
            <w:tcW w:w="2100" w:type="dxa"/>
            <w:vMerge w:val="restart"/>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总投资（亿元）</w:t>
            </w:r>
          </w:p>
        </w:tc>
      </w:tr>
      <w:tr>
        <w:tblPrEx>
          <w:tblLayout w:type="fixed"/>
          <w:tblCellMar>
            <w:top w:w="0" w:type="dxa"/>
            <w:left w:w="0" w:type="dxa"/>
            <w:bottom w:w="0" w:type="dxa"/>
            <w:right w:w="0"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705" w:type="dxa"/>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标准</w:t>
            </w:r>
          </w:p>
        </w:tc>
        <w:tc>
          <w:tcPr>
            <w:tcW w:w="1245" w:type="dxa"/>
            <w:tcBorders>
              <w:top w:val="single" w:color="000000" w:sz="4" w:space="0"/>
              <w:left w:val="single" w:color="000000" w:sz="4" w:space="0"/>
              <w:bottom w:val="single" w:color="000000" w:sz="4" w:space="0"/>
              <w:right w:val="single" w:color="000000" w:sz="4" w:space="0"/>
            </w:tcBorders>
            <w:shd w:val="clear" w:color="auto" w:fill="DEEBF6"/>
            <w:tcMar>
              <w:top w:w="15" w:type="dxa"/>
              <w:left w:w="15" w:type="dxa"/>
              <w:right w:w="15" w:type="dxa"/>
            </w:tcMar>
            <w:vAlign w:val="center"/>
          </w:tcPr>
          <w:p>
            <w:pPr>
              <w:pStyle w:val="35"/>
              <w:rPr>
                <w:color w:val="auto"/>
              </w:rPr>
            </w:pPr>
            <w:r>
              <w:rPr>
                <w:rFonts w:hint="eastAsia"/>
                <w:color w:val="auto"/>
              </w:rPr>
              <w:t>规模(公里)</w:t>
            </w:r>
          </w:p>
        </w:tc>
        <w:tc>
          <w:tcPr>
            <w:tcW w:w="164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rPr>
                <w:color w:val="auto"/>
              </w:rPr>
            </w:pPr>
          </w:p>
        </w:tc>
      </w:tr>
      <w:tr>
        <w:tblPrEx>
          <w:tblLayout w:type="fixed"/>
          <w:tblCellMar>
            <w:top w:w="0" w:type="dxa"/>
            <w:left w:w="0" w:type="dxa"/>
            <w:bottom w:w="0" w:type="dxa"/>
            <w:right w:w="0" w:type="dxa"/>
          </w:tblCellMar>
        </w:tblPrEx>
        <w:trPr>
          <w:trHeight w:val="1440"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农村公路</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新建</w:t>
            </w:r>
          </w:p>
        </w:tc>
        <w:tc>
          <w:tcPr>
            <w:tcW w:w="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三级</w:t>
            </w:r>
          </w:p>
        </w:tc>
        <w:tc>
          <w:tcPr>
            <w:tcW w:w="12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Nimbus Roman No9 L" w:hAnsi="Nimbus Roman No9 L" w:eastAsia="方正仿宋_GBK" w:cs="Nimbus Roman No9 L"/>
                <w:color w:val="auto"/>
                <w:sz w:val="24"/>
                <w:szCs w:val="24"/>
              </w:rPr>
            </w:pPr>
            <w:r>
              <w:rPr>
                <w:rFonts w:hint="eastAsia" w:ascii="Nimbus Roman No9 L" w:hAnsi="Nimbus Roman No9 L" w:eastAsia="方正仿宋_GBK" w:cs="Nimbus Roman No9 L"/>
                <w:color w:val="auto"/>
                <w:sz w:val="24"/>
                <w:szCs w:val="24"/>
              </w:rPr>
              <w:t>438.95</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default" w:ascii="Nimbus Roman No9 L" w:hAnsi="Nimbus Roman No9 L" w:eastAsia="方正仿宋_GBK" w:cs="Nimbus Roman No9 L"/>
                <w:color w:val="auto"/>
                <w:sz w:val="24"/>
                <w:szCs w:val="24"/>
                <w:lang w:val="en-US" w:eastAsia="zh-CN"/>
              </w:rPr>
            </w:pPr>
            <w:r>
              <w:rPr>
                <w:rFonts w:hint="eastAsia" w:ascii="Nimbus Roman No9 L" w:hAnsi="Nimbus Roman No9 L" w:eastAsia="方正仿宋_GBK" w:cs="Nimbus Roman No9 L"/>
                <w:color w:val="auto"/>
                <w:sz w:val="24"/>
                <w:szCs w:val="24"/>
                <w:lang w:val="en-US" w:eastAsia="zh-CN"/>
              </w:rPr>
              <w:t>2016—2020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default" w:ascii="Nimbus Roman No9 L" w:hAnsi="Nimbus Roman No9 L" w:eastAsia="方正仿宋_GBK" w:cs="Nimbus Roman No9 L"/>
                <w:color w:val="auto"/>
                <w:sz w:val="24"/>
                <w:szCs w:val="24"/>
                <w:lang w:val="en-US"/>
              </w:rPr>
            </w:pPr>
            <w:r>
              <w:rPr>
                <w:rFonts w:hint="eastAsia" w:ascii="Nimbus Roman No9 L" w:hAnsi="Nimbus Roman No9 L" w:eastAsia="方正仿宋_GBK" w:cs="Nimbus Roman No9 L"/>
                <w:color w:val="auto"/>
                <w:sz w:val="24"/>
                <w:szCs w:val="24"/>
                <w:lang w:val="en-US" w:eastAsia="zh-CN"/>
              </w:rPr>
              <w:t>10.14</w:t>
            </w:r>
          </w:p>
        </w:tc>
      </w:tr>
    </w:tbl>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“十三五”时期，平远县农村公路投资10.14亿元，完成里程为438.95公里。</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13" w:name="_Toc10033"/>
      <w:r>
        <w:rPr>
          <w:rFonts w:hint="default" w:ascii="Nimbus Roman No9 L" w:hAnsi="Nimbus Roman No9 L" w:eastAsia="方正楷体_GBK" w:cs="Nimbus Roman No9 L"/>
          <w:b w:val="0"/>
          <w:bCs/>
          <w:color w:val="auto"/>
          <w:sz w:val="32"/>
          <w:szCs w:val="32"/>
        </w:rPr>
        <w:t>2.3存在问题</w:t>
      </w:r>
      <w:bookmarkEnd w:id="13"/>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经过多年发展，平远县普通公路网络基本形成，与全县重要节点和枢纽的衔接水平持续提升，为促进平远县经济社会发展、全面建成小康社会奠定了坚实基础。但从公路总量和路网密度、技术标准、路网布局和服务水平等方面考量，还不能适应平远县快速发展的经济和社会发展需求。从建成的通达里程来看，平远县普通公路在全省居中下水平。路网基础设施短板仍待补齐，普通公路发展不平衡不充分问题依然存在，具体主要表现在以下几个方面：</w:t>
      </w:r>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2.3.1公路穿城问题亟需解决</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由于缺少绕行路线，或者现有绕行道路的技术等级以及路况水平无法满足重型车辆通过，重型车辆穿城而过导致交通污染源逐渐向城内集中，加剧了城市内的大气污染。济广高速平远出口位于县城中心，与县城主要通道G206线和环北路十字交叉，各种交通流相互交织，路段拥堵严重，极大影响了公路网络和城市交通运行整体效率。普通公路穿城问题日益突出，尤其是在未来</w:t>
      </w:r>
      <w:r>
        <w:rPr>
          <w:rFonts w:hint="eastAsia" w:ascii="Nimbus Roman No9 L" w:hAnsi="Nimbus Roman No9 L" w:eastAsia="方正仿宋简体" w:cs="Nimbus Roman No9 L"/>
          <w:b w:val="0"/>
          <w:bCs w:val="0"/>
          <w:color w:val="000000" w:themeColor="text1"/>
          <w:spacing w:val="-6"/>
          <w:kern w:val="2"/>
          <w:sz w:val="32"/>
          <w:szCs w:val="32"/>
          <w:lang w:val="en-US" w:eastAsia="zh-CN" w:bidi="ar-SA"/>
          <w14:textFill>
            <w14:solidFill>
              <w14:schemeClr w14:val="tx1"/>
            </w14:solidFill>
          </w14:textFill>
        </w:rPr>
        <w:t>瑞梅铁路建成通车后，货运车流将急剧增大，所以该问题亟需解决。</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2.3.2等级结构有待提升</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一是低等级路段比例仍旧偏大。高速公路57.1公里，占2.73%；一、二级公路225.15公里，占10.76%；三级公路105公里，占5.02%；四级公路1706.16公里，占81.5%。二级及以上公路里程仅占13.48%，低于梅州市的14.67%，与珠三角地区超过90%的普通公路达到二级以上标准相比，差距更为明显。</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二是普通公路因技术等级不同导致衔接不畅，形成的瓶颈路比例较大，制约了区域协调发展、融合发展。如G206、G358、S332、S334、S239、S225全线或部分路段需要升级改造。</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三是断头路的存在影响了整体路网功能的发挥，如S334。近期的发展重点应加强省际、市际及县际衔接，打通断头路。</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2.3.3路网结构分布欠均</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从区域路网结构看，平远县北部和东部路网结构较疏，随着苏区经济发展，交通基础设施需求日益强烈。G358、S239、S334在规划线位时，需着重考虑沿线镇发展需求，优化路网结构，扩大覆盖范围。另外，随着城市框架不断拉大，城市重心也发生了变化，局部路网结构需要进一步优化，以支撑引领平远县经济社会快速发展。</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2.3.4与重要节点衔接仍需加强</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根据《国家中长期铁路规划（2016—2030年）》《广东省铁路建设规划》《广东省高速公路网规划（2020—2035）年》等专项规划的布局，平远县将规划实施江西瑞金至广东梅州铁路项目，推进梅州平远至福建武平高速公路、平远蕉岭大埔高速公路项目。根据其进展情况，需同步或提前实施与其衔接的普通公路项目，以保证未来规划的顺利开展。</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2.3.5结构性矛盾依然突出</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随着城镇化的快速推进以及乡村振兴战略的加速实施，对普通公路建设需求旺盛，但由于项目投资规模大、基本无收益、地方财政投入能力不足、政策收紧导致融资难度加剧等原因，项目资金筹措困难，呈现出供需矛盾突出的问题。</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2.3.6高快速交通体系缺乏</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截至2020年，平远县仅有梅平高速及济广高速两条高速公路贯穿全县，铁路线为零，平远县的快速客运及货运遇到了很多的阻碍和困难；缺乏完整的高速公路及铁路线，吸引外部投资难度较大，造成平远县内经济水平低下、外出打工人口增多的情况。换言之，只有解决平远县快速交通网络体系构建的问题，全县才能迎来进一步的发展飞跃。</w:t>
      </w:r>
    </w:p>
    <w:p>
      <w:pPr>
        <w:pStyle w:val="3"/>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b w:val="0"/>
          <w:bCs/>
          <w:color w:val="auto"/>
        </w:rPr>
      </w:pPr>
      <w:bookmarkStart w:id="14" w:name="_Toc20886"/>
      <w:r>
        <w:rPr>
          <w:rFonts w:hint="eastAsia" w:ascii="方正黑体_GBK" w:hAnsi="方正黑体_GBK" w:eastAsia="方正黑体_GBK" w:cs="方正黑体_GBK"/>
          <w:b w:val="0"/>
          <w:bCs/>
          <w:color w:val="auto"/>
        </w:rPr>
        <w:t>三、需求预测</w:t>
      </w:r>
      <w:bookmarkEnd w:id="14"/>
    </w:p>
    <w:p>
      <w:pPr>
        <w:pStyle w:val="4"/>
        <w:pageBreakBefore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lang w:eastAsia="zh-CN"/>
        </w:rPr>
      </w:pPr>
      <w:bookmarkStart w:id="15" w:name="_Toc26475"/>
      <w:r>
        <w:rPr>
          <w:rFonts w:hint="default" w:ascii="Nimbus Roman No9 L" w:hAnsi="Nimbus Roman No9 L" w:eastAsia="方正楷体_GBK" w:cs="Nimbus Roman No9 L"/>
          <w:b w:val="0"/>
          <w:bCs/>
          <w:color w:val="auto"/>
          <w:sz w:val="32"/>
          <w:szCs w:val="32"/>
        </w:rPr>
        <w:t>3.1交通量现状</w:t>
      </w:r>
      <w:bookmarkEnd w:id="15"/>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3.1.1客运公路交通量现状</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通过统计平远县G206、S225、G358（原S331）、S332等线路逐年的交通量来说明平远县目前客运公路交通量的现状，各年交通量统计如表3-1所示。</w:t>
      </w:r>
    </w:p>
    <w:p>
      <w:pPr>
        <w:pStyle w:val="27"/>
        <w:pageBreakBefore w:val="0"/>
        <w:kinsoku/>
        <w:wordWrap/>
        <w:overflowPunct/>
        <w:topLinePunct w:val="0"/>
        <w:autoSpaceDE/>
        <w:autoSpaceDN/>
        <w:bidi w:val="0"/>
        <w:adjustRightInd/>
        <w:snapToGrid/>
        <w:spacing w:before="0" w:beforeLines="0" w:line="560" w:lineRule="exact"/>
        <w:textAlignment w:val="auto"/>
        <w:rPr>
          <w:rFonts w:hint="default" w:ascii="Nimbus Roman No9 L" w:hAnsi="Nimbus Roman No9 L" w:eastAsia="方正黑体_GBK" w:cs="Nimbus Roman No9 L"/>
          <w:b w:val="0"/>
          <w:bCs/>
          <w:color w:val="auto"/>
          <w:sz w:val="32"/>
          <w:szCs w:val="32"/>
          <w:lang w:eastAsia="zh-CN"/>
        </w:rPr>
      </w:pPr>
      <w:r>
        <w:rPr>
          <w:rFonts w:hint="default" w:ascii="Nimbus Roman No9 L" w:hAnsi="Nimbus Roman No9 L" w:eastAsia="方正黑体_GBK" w:cs="Nimbus Roman No9 L"/>
          <w:b w:val="0"/>
          <w:bCs/>
          <w:color w:val="auto"/>
          <w:sz w:val="32"/>
          <w:szCs w:val="32"/>
        </w:rPr>
        <w:t>表3-1</w:t>
      </w:r>
      <w:r>
        <w:rPr>
          <w:rFonts w:hint="default" w:ascii="Nimbus Roman No9 L" w:hAnsi="Nimbus Roman No9 L" w:eastAsia="方正黑体_GBK" w:cs="Nimbus Roman No9 L"/>
          <w:b w:val="0"/>
          <w:bCs/>
          <w:color w:val="auto"/>
          <w:sz w:val="32"/>
          <w:szCs w:val="32"/>
          <w:lang w:val="en-US" w:eastAsia="zh-CN"/>
        </w:rPr>
        <w:t xml:space="preserve">  </w:t>
      </w:r>
      <w:r>
        <w:rPr>
          <w:rFonts w:hint="default" w:ascii="Nimbus Roman No9 L" w:hAnsi="Nimbus Roman No9 L" w:eastAsia="方正黑体_GBK" w:cs="Nimbus Roman No9 L"/>
          <w:b w:val="0"/>
          <w:bCs/>
          <w:color w:val="auto"/>
          <w:sz w:val="32"/>
          <w:szCs w:val="32"/>
        </w:rPr>
        <w:t>平远县历年（201</w:t>
      </w:r>
      <w:r>
        <w:rPr>
          <w:rFonts w:hint="default" w:ascii="Nimbus Roman No9 L" w:hAnsi="Nimbus Roman No9 L" w:eastAsia="方正黑体_GBK" w:cs="Nimbus Roman No9 L"/>
          <w:b w:val="0"/>
          <w:bCs/>
          <w:color w:val="auto"/>
          <w:sz w:val="32"/>
          <w:szCs w:val="32"/>
          <w:lang w:val="en-US" w:eastAsia="zh-CN"/>
        </w:rPr>
        <w:t>6</w:t>
      </w:r>
      <w:r>
        <w:rPr>
          <w:rFonts w:hint="eastAsia" w:ascii="Nimbus Roman No9 L" w:hAnsi="Nimbus Roman No9 L" w:eastAsia="方正黑体_GBK" w:cs="Nimbus Roman No9 L"/>
          <w:b w:val="0"/>
          <w:bCs/>
          <w:color w:val="auto"/>
          <w:sz w:val="32"/>
          <w:szCs w:val="32"/>
          <w:lang w:eastAsia="zh-CN"/>
        </w:rPr>
        <w:t>—</w:t>
      </w:r>
      <w:r>
        <w:rPr>
          <w:rFonts w:hint="default" w:ascii="Nimbus Roman No9 L" w:hAnsi="Nimbus Roman No9 L" w:eastAsia="方正黑体_GBK" w:cs="Nimbus Roman No9 L"/>
          <w:b w:val="0"/>
          <w:bCs/>
          <w:color w:val="auto"/>
          <w:sz w:val="32"/>
          <w:szCs w:val="32"/>
        </w:rPr>
        <w:t>20</w:t>
      </w:r>
      <w:r>
        <w:rPr>
          <w:rFonts w:hint="default" w:ascii="Nimbus Roman No9 L" w:hAnsi="Nimbus Roman No9 L" w:eastAsia="方正黑体_GBK" w:cs="Nimbus Roman No9 L"/>
          <w:b w:val="0"/>
          <w:bCs/>
          <w:color w:val="auto"/>
          <w:sz w:val="32"/>
          <w:szCs w:val="32"/>
          <w:lang w:val="en-US" w:eastAsia="zh-CN"/>
        </w:rPr>
        <w:t>20</w:t>
      </w:r>
      <w:r>
        <w:rPr>
          <w:rFonts w:hint="default" w:ascii="Nimbus Roman No9 L" w:hAnsi="Nimbus Roman No9 L" w:eastAsia="方正黑体_GBK" w:cs="Nimbus Roman No9 L"/>
          <w:b w:val="0"/>
          <w:bCs/>
          <w:color w:val="auto"/>
          <w:sz w:val="32"/>
          <w:szCs w:val="32"/>
        </w:rPr>
        <w:t>）客运交通量统计</w:t>
      </w:r>
    </w:p>
    <w:tbl>
      <w:tblPr>
        <w:tblStyle w:val="22"/>
        <w:tblW w:w="9344" w:type="dxa"/>
        <w:jc w:val="center"/>
        <w:tblInd w:w="0" w:type="dxa"/>
        <w:tblLayout w:type="fixed"/>
        <w:tblCellMar>
          <w:top w:w="0" w:type="dxa"/>
          <w:left w:w="0" w:type="dxa"/>
          <w:bottom w:w="0" w:type="dxa"/>
          <w:right w:w="0" w:type="dxa"/>
        </w:tblCellMar>
      </w:tblPr>
      <w:tblGrid>
        <w:gridCol w:w="1974"/>
        <w:gridCol w:w="2598"/>
        <w:gridCol w:w="2596"/>
        <w:gridCol w:w="2176"/>
      </w:tblGrid>
      <w:tr>
        <w:tblPrEx>
          <w:tblLayout w:type="fixed"/>
          <w:tblCellMar>
            <w:top w:w="0" w:type="dxa"/>
            <w:left w:w="0" w:type="dxa"/>
            <w:bottom w:w="0" w:type="dxa"/>
            <w:right w:w="0" w:type="dxa"/>
          </w:tblCellMar>
        </w:tblPrEx>
        <w:trPr>
          <w:trHeight w:val="454" w:hRule="atLeast"/>
          <w:jc w:val="center"/>
        </w:trPr>
        <w:tc>
          <w:tcPr>
            <w:tcW w:w="9344" w:type="dxa"/>
            <w:gridSpan w:val="4"/>
            <w:vMerge w:val="restart"/>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cs="Nimbus Roman No9 L"/>
                <w:color w:val="auto"/>
                <w:sz w:val="28"/>
                <w:szCs w:val="28"/>
                <w:lang w:bidi="ar"/>
              </w:rPr>
            </w:pPr>
            <w:r>
              <w:rPr>
                <w:rFonts w:hint="default" w:ascii="Nimbus Roman No9 L" w:hAnsi="Nimbus Roman No9 L" w:cs="Nimbus Roman No9 L"/>
                <w:color w:val="auto"/>
                <w:sz w:val="28"/>
                <w:szCs w:val="28"/>
                <w:lang w:bidi="ar"/>
              </w:rPr>
              <w:t>平远县G206、S225、G358、S332线路各年客运交通量</w:t>
            </w:r>
          </w:p>
          <w:p>
            <w:pPr>
              <w:pStyle w:val="35"/>
              <w:keepNext w:val="0"/>
              <w:keepLines w:val="0"/>
              <w:pageBreakBefore w:val="0"/>
              <w:widowControl/>
              <w:kinsoku/>
              <w:wordWrap/>
              <w:overflowPunct/>
              <w:topLinePunct w:val="0"/>
              <w:autoSpaceDE/>
              <w:autoSpaceDN/>
              <w:bidi w:val="0"/>
              <w:adjustRightInd/>
              <w:snapToGrid/>
              <w:spacing w:line="400" w:lineRule="exact"/>
              <w:textAlignment w:val="auto"/>
              <w:rPr>
                <w:color w:val="auto"/>
              </w:rPr>
            </w:pPr>
            <w:r>
              <w:rPr>
                <w:rFonts w:hint="default" w:ascii="Nimbus Roman No9 L" w:hAnsi="Nimbus Roman No9 L" w:cs="Nimbus Roman No9 L"/>
                <w:color w:val="auto"/>
                <w:sz w:val="28"/>
                <w:szCs w:val="28"/>
                <w:lang w:bidi="ar"/>
              </w:rPr>
              <w:t>（折算为AADT）统计（201</w:t>
            </w:r>
            <w:r>
              <w:rPr>
                <w:rFonts w:hint="default" w:ascii="Nimbus Roman No9 L" w:hAnsi="Nimbus Roman No9 L" w:cs="Nimbus Roman No9 L"/>
                <w:color w:val="auto"/>
                <w:sz w:val="28"/>
                <w:szCs w:val="28"/>
                <w:lang w:val="en-US" w:eastAsia="zh-CN" w:bidi="ar"/>
              </w:rPr>
              <w:t>6</w:t>
            </w:r>
            <w:r>
              <w:rPr>
                <w:rFonts w:hint="eastAsia" w:ascii="Nimbus Roman No9 L" w:hAnsi="Nimbus Roman No9 L" w:cs="Nimbus Roman No9 L"/>
                <w:color w:val="auto"/>
                <w:sz w:val="28"/>
                <w:szCs w:val="28"/>
                <w:lang w:eastAsia="zh-CN" w:bidi="ar"/>
              </w:rPr>
              <w:t>—</w:t>
            </w:r>
            <w:r>
              <w:rPr>
                <w:rFonts w:hint="default" w:ascii="Nimbus Roman No9 L" w:hAnsi="Nimbus Roman No9 L" w:cs="Nimbus Roman No9 L"/>
                <w:color w:val="auto"/>
                <w:sz w:val="28"/>
                <w:szCs w:val="28"/>
                <w:lang w:bidi="ar"/>
              </w:rPr>
              <w:t>20</w:t>
            </w:r>
            <w:r>
              <w:rPr>
                <w:rFonts w:hint="default" w:ascii="Nimbus Roman No9 L" w:hAnsi="Nimbus Roman No9 L" w:cs="Nimbus Roman No9 L"/>
                <w:color w:val="auto"/>
                <w:sz w:val="28"/>
                <w:szCs w:val="28"/>
                <w:lang w:val="en-US" w:eastAsia="zh-CN" w:bidi="ar"/>
              </w:rPr>
              <w:t>20</w:t>
            </w:r>
            <w:r>
              <w:rPr>
                <w:rFonts w:hint="default" w:ascii="Nimbus Roman No9 L" w:hAnsi="Nimbus Roman No9 L" w:cs="Nimbus Roman No9 L"/>
                <w:color w:val="auto"/>
                <w:sz w:val="28"/>
                <w:szCs w:val="28"/>
                <w:lang w:bidi="ar"/>
              </w:rPr>
              <w:t>）</w:t>
            </w:r>
          </w:p>
        </w:tc>
      </w:tr>
      <w:tr>
        <w:tblPrEx>
          <w:tblLayout w:type="fixed"/>
          <w:tblCellMar>
            <w:top w:w="0" w:type="dxa"/>
            <w:left w:w="0" w:type="dxa"/>
            <w:bottom w:w="0" w:type="dxa"/>
            <w:right w:w="0" w:type="dxa"/>
          </w:tblCellMar>
        </w:tblPrEx>
        <w:trPr>
          <w:trHeight w:val="336" w:hRule="atLeast"/>
          <w:jc w:val="center"/>
        </w:trPr>
        <w:tc>
          <w:tcPr>
            <w:tcW w:w="9344" w:type="dxa"/>
            <w:gridSpan w:val="4"/>
            <w:vMerge w:val="continue"/>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color w:val="auto"/>
              </w:rPr>
            </w:pPr>
          </w:p>
        </w:tc>
      </w:tr>
      <w:tr>
        <w:tblPrEx>
          <w:tblLayout w:type="fixed"/>
          <w:tblCellMar>
            <w:top w:w="0" w:type="dxa"/>
            <w:left w:w="0" w:type="dxa"/>
            <w:bottom w:w="0" w:type="dxa"/>
            <w:right w:w="0" w:type="dxa"/>
          </w:tblCellMar>
        </w:tblPrEx>
        <w:trPr>
          <w:trHeight w:val="340" w:hRule="atLeast"/>
          <w:jc w:val="center"/>
        </w:trPr>
        <w:tc>
          <w:tcPr>
            <w:tcW w:w="1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color w:val="auto"/>
              </w:rPr>
            </w:pPr>
            <w:r>
              <w:rPr>
                <w:rFonts w:hint="eastAsia"/>
                <w:color w:val="auto"/>
                <w:lang w:bidi="ar"/>
              </w:rPr>
              <w:t>年份</w:t>
            </w:r>
          </w:p>
        </w:tc>
        <w:tc>
          <w:tcPr>
            <w:tcW w:w="2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color w:val="auto"/>
              </w:rPr>
            </w:pPr>
            <w:r>
              <w:rPr>
                <w:rFonts w:hint="eastAsia"/>
                <w:color w:val="auto"/>
                <w:lang w:bidi="ar"/>
              </w:rPr>
              <w:t>小客车</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color w:val="auto"/>
              </w:rPr>
            </w:pPr>
            <w:r>
              <w:rPr>
                <w:rFonts w:hint="eastAsia"/>
                <w:color w:val="auto"/>
                <w:lang w:bidi="ar"/>
              </w:rPr>
              <w:t>大客车</w:t>
            </w:r>
          </w:p>
        </w:tc>
        <w:tc>
          <w:tcPr>
            <w:tcW w:w="2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color w:val="auto"/>
              </w:rPr>
            </w:pPr>
            <w:r>
              <w:rPr>
                <w:rFonts w:hint="eastAsia"/>
                <w:color w:val="auto"/>
                <w:lang w:bidi="ar"/>
              </w:rPr>
              <w:t>合计</w:t>
            </w:r>
          </w:p>
        </w:tc>
      </w:tr>
      <w:tr>
        <w:tblPrEx>
          <w:tblLayout w:type="fixed"/>
          <w:tblCellMar>
            <w:top w:w="0" w:type="dxa"/>
            <w:left w:w="0" w:type="dxa"/>
            <w:bottom w:w="0" w:type="dxa"/>
            <w:right w:w="0" w:type="dxa"/>
          </w:tblCellMar>
        </w:tblPrEx>
        <w:trPr>
          <w:trHeight w:val="340" w:hRule="atLeast"/>
          <w:jc w:val="center"/>
        </w:trPr>
        <w:tc>
          <w:tcPr>
            <w:tcW w:w="1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2016年</w:t>
            </w:r>
          </w:p>
        </w:tc>
        <w:tc>
          <w:tcPr>
            <w:tcW w:w="2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11424</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4554</w:t>
            </w:r>
          </w:p>
        </w:tc>
        <w:tc>
          <w:tcPr>
            <w:tcW w:w="2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15978</w:t>
            </w:r>
          </w:p>
        </w:tc>
      </w:tr>
      <w:tr>
        <w:tblPrEx>
          <w:tblLayout w:type="fixed"/>
          <w:tblCellMar>
            <w:top w:w="0" w:type="dxa"/>
            <w:left w:w="0" w:type="dxa"/>
            <w:bottom w:w="0" w:type="dxa"/>
            <w:right w:w="0" w:type="dxa"/>
          </w:tblCellMar>
        </w:tblPrEx>
        <w:trPr>
          <w:trHeight w:val="340" w:hRule="atLeast"/>
          <w:jc w:val="center"/>
        </w:trPr>
        <w:tc>
          <w:tcPr>
            <w:tcW w:w="1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2017年</w:t>
            </w:r>
          </w:p>
        </w:tc>
        <w:tc>
          <w:tcPr>
            <w:tcW w:w="2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15178</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3128</w:t>
            </w:r>
          </w:p>
        </w:tc>
        <w:tc>
          <w:tcPr>
            <w:tcW w:w="2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18306</w:t>
            </w:r>
          </w:p>
        </w:tc>
      </w:tr>
      <w:tr>
        <w:tblPrEx>
          <w:tblLayout w:type="fixed"/>
          <w:tblCellMar>
            <w:top w:w="0" w:type="dxa"/>
            <w:left w:w="0" w:type="dxa"/>
            <w:bottom w:w="0" w:type="dxa"/>
            <w:right w:w="0" w:type="dxa"/>
          </w:tblCellMar>
        </w:tblPrEx>
        <w:trPr>
          <w:trHeight w:val="340" w:hRule="atLeast"/>
          <w:jc w:val="center"/>
        </w:trPr>
        <w:tc>
          <w:tcPr>
            <w:tcW w:w="1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2018年</w:t>
            </w:r>
          </w:p>
        </w:tc>
        <w:tc>
          <w:tcPr>
            <w:tcW w:w="2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15763</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3365</w:t>
            </w:r>
          </w:p>
        </w:tc>
        <w:tc>
          <w:tcPr>
            <w:tcW w:w="2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19128</w:t>
            </w:r>
          </w:p>
        </w:tc>
      </w:tr>
      <w:tr>
        <w:tblPrEx>
          <w:tblLayout w:type="fixed"/>
          <w:tblCellMar>
            <w:top w:w="0" w:type="dxa"/>
            <w:left w:w="0" w:type="dxa"/>
            <w:bottom w:w="0" w:type="dxa"/>
            <w:right w:w="0" w:type="dxa"/>
          </w:tblCellMar>
        </w:tblPrEx>
        <w:trPr>
          <w:trHeight w:val="340" w:hRule="atLeast"/>
          <w:jc w:val="center"/>
        </w:trPr>
        <w:tc>
          <w:tcPr>
            <w:tcW w:w="1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2019年</w:t>
            </w:r>
          </w:p>
        </w:tc>
        <w:tc>
          <w:tcPr>
            <w:tcW w:w="2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14441</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2289</w:t>
            </w:r>
          </w:p>
        </w:tc>
        <w:tc>
          <w:tcPr>
            <w:tcW w:w="2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bidi="ar"/>
              </w:rPr>
              <w:t>16730</w:t>
            </w:r>
          </w:p>
        </w:tc>
      </w:tr>
      <w:tr>
        <w:tblPrEx>
          <w:tblLayout w:type="fixed"/>
          <w:tblCellMar>
            <w:top w:w="0" w:type="dxa"/>
            <w:left w:w="0" w:type="dxa"/>
            <w:bottom w:w="0" w:type="dxa"/>
            <w:right w:w="0" w:type="dxa"/>
          </w:tblCellMar>
        </w:tblPrEx>
        <w:trPr>
          <w:trHeight w:val="340" w:hRule="atLeast"/>
          <w:jc w:val="center"/>
        </w:trPr>
        <w:tc>
          <w:tcPr>
            <w:tcW w:w="1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lang w:val="en-US" w:eastAsia="zh-CN" w:bidi="ar"/>
              </w:rPr>
            </w:pPr>
            <w:r>
              <w:rPr>
                <w:rFonts w:hint="default" w:ascii="Nimbus Roman No9 L" w:hAnsi="Nimbus Roman No9 L" w:eastAsia="方正仿宋_GBK" w:cs="Nimbus Roman No9 L"/>
                <w:color w:val="auto"/>
                <w:lang w:val="en-US" w:eastAsia="zh-CN" w:bidi="ar"/>
              </w:rPr>
              <w:t>2020年</w:t>
            </w:r>
          </w:p>
        </w:tc>
        <w:tc>
          <w:tcPr>
            <w:tcW w:w="2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lang w:val="en-US" w:eastAsia="zh-CN" w:bidi="ar"/>
              </w:rPr>
            </w:pPr>
            <w:r>
              <w:rPr>
                <w:rFonts w:hint="default" w:ascii="Nimbus Roman No9 L" w:hAnsi="Nimbus Roman No9 L" w:eastAsia="方正仿宋_GBK" w:cs="Nimbus Roman No9 L"/>
                <w:color w:val="auto"/>
                <w:lang w:val="en-US" w:eastAsia="zh-CN" w:bidi="ar"/>
              </w:rPr>
              <w:t>15200</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lang w:val="en-US" w:eastAsia="zh-CN" w:bidi="ar"/>
              </w:rPr>
            </w:pPr>
            <w:r>
              <w:rPr>
                <w:rFonts w:hint="default" w:ascii="Nimbus Roman No9 L" w:hAnsi="Nimbus Roman No9 L" w:eastAsia="方正仿宋_GBK" w:cs="Nimbus Roman No9 L"/>
                <w:color w:val="auto"/>
                <w:lang w:val="en-US" w:eastAsia="zh-CN" w:bidi="ar"/>
              </w:rPr>
              <w:t>2103</w:t>
            </w:r>
          </w:p>
        </w:tc>
        <w:tc>
          <w:tcPr>
            <w:tcW w:w="2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220" w:lineRule="exact"/>
              <w:textAlignment w:val="auto"/>
              <w:rPr>
                <w:rFonts w:hint="default" w:ascii="Nimbus Roman No9 L" w:hAnsi="Nimbus Roman No9 L" w:eastAsia="方正仿宋_GBK" w:cs="Nimbus Roman No9 L"/>
                <w:color w:val="auto"/>
                <w:lang w:val="en-US" w:eastAsia="zh-CN" w:bidi="ar"/>
              </w:rPr>
            </w:pPr>
            <w:r>
              <w:rPr>
                <w:rFonts w:hint="default" w:ascii="Nimbus Roman No9 L" w:hAnsi="Nimbus Roman No9 L" w:eastAsia="方正仿宋_GBK" w:cs="Nimbus Roman No9 L"/>
                <w:color w:val="auto"/>
                <w:lang w:val="en-US" w:eastAsia="zh-CN" w:bidi="ar"/>
              </w:rPr>
              <w:t>17303</w:t>
            </w:r>
          </w:p>
        </w:tc>
      </w:tr>
    </w:tbl>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color w:val="auto"/>
          <w:spacing w:val="0"/>
        </w:rPr>
      </w:pPr>
      <w:r>
        <w:rPr>
          <w:rFonts w:hint="eastAsia" w:ascii="Nimbus Roman No9 L" w:hAnsi="Nimbus Roman No9 L" w:eastAsia="方正仿宋简体" w:cs="Nimbus Roman No9 L"/>
          <w:b w:val="0"/>
          <w:bCs w:val="0"/>
          <w:color w:val="000000" w:themeColor="text1"/>
          <w:spacing w:val="0"/>
          <w:kern w:val="2"/>
          <w:sz w:val="32"/>
          <w:szCs w:val="32"/>
          <w:lang w:val="en-US" w:eastAsia="zh-CN" w:bidi="ar-SA"/>
          <w14:textFill>
            <w14:solidFill>
              <w14:schemeClr w14:val="tx1"/>
            </w14:solidFill>
          </w14:textFill>
        </w:rPr>
        <w:t>2016—2020年，平远县客运年平均月交通量稳定在17000左右。平远县2016—2020年客运量如图3-1所示。</w:t>
      </w:r>
    </w:p>
    <w:p>
      <w:pPr>
        <w:pStyle w:val="26"/>
        <w:bidi w:val="0"/>
        <w:rPr>
          <w:color w:val="auto"/>
        </w:rPr>
      </w:pPr>
      <w:r>
        <w:rPr>
          <w:color w:val="auto"/>
        </w:rPr>
        <w:drawing>
          <wp:inline distT="0" distB="0" distL="114300" distR="114300">
            <wp:extent cx="3900170" cy="2458720"/>
            <wp:effectExtent l="4445" t="4445" r="19685" b="13335"/>
            <wp:docPr id="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图3-1  平远县历年（2016—2020）客运量统计</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2016年到2020年平远县客运量稳定在320万人次/年。</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3.1.2货运公路交通量现状</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同3.1.1，得到平远县2016—2020年货运公路交通量如表3-2所示。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表3-2  平远县历年（2016—2020）货运交通量统计</w:t>
      </w:r>
    </w:p>
    <w:tbl>
      <w:tblPr>
        <w:tblStyle w:val="22"/>
        <w:tblW w:w="9344" w:type="dxa"/>
        <w:jc w:val="center"/>
        <w:tblInd w:w="0" w:type="dxa"/>
        <w:tblLayout w:type="fixed"/>
        <w:tblCellMar>
          <w:top w:w="0" w:type="dxa"/>
          <w:left w:w="0" w:type="dxa"/>
          <w:bottom w:w="0" w:type="dxa"/>
          <w:right w:w="0" w:type="dxa"/>
        </w:tblCellMar>
      </w:tblPr>
      <w:tblGrid>
        <w:gridCol w:w="1201"/>
        <w:gridCol w:w="1578"/>
        <w:gridCol w:w="1577"/>
        <w:gridCol w:w="1577"/>
        <w:gridCol w:w="2084"/>
        <w:gridCol w:w="1327"/>
      </w:tblGrid>
      <w:tr>
        <w:tblPrEx>
          <w:tblLayout w:type="fixed"/>
        </w:tblPrEx>
        <w:trPr>
          <w:trHeight w:val="454" w:hRule="atLeast"/>
          <w:jc w:val="center"/>
        </w:trPr>
        <w:tc>
          <w:tcPr>
            <w:tcW w:w="1201"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color w:val="auto"/>
              </w:rPr>
            </w:pPr>
            <w:r>
              <w:rPr>
                <w:rFonts w:hint="eastAsia"/>
                <w:color w:val="auto"/>
                <w:lang w:bidi="ar"/>
              </w:rPr>
              <w:t>年份</w:t>
            </w:r>
          </w:p>
        </w:tc>
        <w:tc>
          <w:tcPr>
            <w:tcW w:w="1578"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color w:val="auto"/>
              </w:rPr>
            </w:pPr>
            <w:r>
              <w:rPr>
                <w:rFonts w:hint="eastAsia"/>
                <w:color w:val="auto"/>
                <w:lang w:bidi="ar"/>
              </w:rPr>
              <w:t>小货车</w:t>
            </w:r>
          </w:p>
        </w:tc>
        <w:tc>
          <w:tcPr>
            <w:tcW w:w="157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color w:val="auto"/>
              </w:rPr>
            </w:pPr>
            <w:r>
              <w:rPr>
                <w:rFonts w:hint="eastAsia"/>
                <w:color w:val="auto"/>
                <w:lang w:bidi="ar"/>
              </w:rPr>
              <w:t>中货车</w:t>
            </w:r>
          </w:p>
        </w:tc>
        <w:tc>
          <w:tcPr>
            <w:tcW w:w="157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color w:val="auto"/>
              </w:rPr>
            </w:pPr>
            <w:r>
              <w:rPr>
                <w:rFonts w:hint="eastAsia"/>
                <w:color w:val="auto"/>
                <w:lang w:bidi="ar"/>
              </w:rPr>
              <w:t>大货车</w:t>
            </w:r>
          </w:p>
        </w:tc>
        <w:tc>
          <w:tcPr>
            <w:tcW w:w="2084"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color w:val="auto"/>
              </w:rPr>
            </w:pPr>
            <w:r>
              <w:rPr>
                <w:rFonts w:hint="eastAsia"/>
                <w:color w:val="auto"/>
                <w:lang w:bidi="ar"/>
              </w:rPr>
              <w:t>特大货车</w:t>
            </w:r>
          </w:p>
        </w:tc>
        <w:tc>
          <w:tcPr>
            <w:tcW w:w="132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Mar>
              <w:top w:w="15" w:type="dxa"/>
              <w:left w:w="15" w:type="dxa"/>
              <w:right w:w="15" w:type="dxa"/>
            </w:tcMar>
            <w:vAlign w:val="center"/>
          </w:tcPr>
          <w:p>
            <w:pPr>
              <w:pStyle w:val="35"/>
              <w:rPr>
                <w:color w:val="auto"/>
              </w:rPr>
            </w:pPr>
            <w:r>
              <w:rPr>
                <w:rFonts w:hint="eastAsia"/>
                <w:color w:val="auto"/>
                <w:lang w:bidi="ar"/>
              </w:rPr>
              <w:t>合计</w:t>
            </w:r>
          </w:p>
        </w:tc>
      </w:tr>
      <w:tr>
        <w:tblPrEx>
          <w:tblLayout w:type="fixed"/>
          <w:tblCellMar>
            <w:top w:w="0" w:type="dxa"/>
            <w:left w:w="0" w:type="dxa"/>
            <w:bottom w:w="0" w:type="dxa"/>
            <w:right w:w="0" w:type="dxa"/>
          </w:tblCellMar>
        </w:tblPrEx>
        <w:trPr>
          <w:trHeight w:val="454" w:hRule="atLeast"/>
          <w:jc w:val="center"/>
        </w:trPr>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val="en-US" w:eastAsia="zh-CN" w:bidi="ar"/>
              </w:rPr>
              <w:t>20</w:t>
            </w:r>
            <w:r>
              <w:rPr>
                <w:rFonts w:hint="eastAsia" w:ascii="Nimbus Roman No9 L" w:hAnsi="Nimbus Roman No9 L" w:eastAsia="方正仿宋_GBK" w:cs="Nimbus Roman No9 L"/>
                <w:color w:val="auto"/>
                <w:lang w:bidi="ar"/>
              </w:rPr>
              <w:t>16年</w:t>
            </w:r>
          </w:p>
        </w:tc>
        <w:tc>
          <w:tcPr>
            <w:tcW w:w="1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5864</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11061</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12185</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4312</w:t>
            </w:r>
          </w:p>
        </w:tc>
        <w:tc>
          <w:tcPr>
            <w:tcW w:w="13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33422</w:t>
            </w:r>
          </w:p>
        </w:tc>
      </w:tr>
      <w:tr>
        <w:tblPrEx>
          <w:tblLayout w:type="fixed"/>
          <w:tblCellMar>
            <w:top w:w="0" w:type="dxa"/>
            <w:left w:w="0" w:type="dxa"/>
            <w:bottom w:w="0" w:type="dxa"/>
            <w:right w:w="0" w:type="dxa"/>
          </w:tblCellMar>
        </w:tblPrEx>
        <w:trPr>
          <w:trHeight w:val="454" w:hRule="atLeast"/>
          <w:jc w:val="center"/>
        </w:trPr>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val="en-US" w:eastAsia="zh-CN" w:bidi="ar"/>
              </w:rPr>
              <w:t>20</w:t>
            </w:r>
            <w:r>
              <w:rPr>
                <w:rFonts w:hint="eastAsia" w:ascii="Nimbus Roman No9 L" w:hAnsi="Nimbus Roman No9 L" w:eastAsia="方正仿宋_GBK" w:cs="Nimbus Roman No9 L"/>
                <w:color w:val="auto"/>
                <w:lang w:bidi="ar"/>
              </w:rPr>
              <w:t>17年</w:t>
            </w:r>
          </w:p>
        </w:tc>
        <w:tc>
          <w:tcPr>
            <w:tcW w:w="1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6328</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9724</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12786</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11258</w:t>
            </w:r>
          </w:p>
        </w:tc>
        <w:tc>
          <w:tcPr>
            <w:tcW w:w="13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40096</w:t>
            </w:r>
          </w:p>
        </w:tc>
      </w:tr>
      <w:tr>
        <w:tblPrEx>
          <w:tblLayout w:type="fixed"/>
          <w:tblCellMar>
            <w:top w:w="0" w:type="dxa"/>
            <w:left w:w="0" w:type="dxa"/>
            <w:bottom w:w="0" w:type="dxa"/>
            <w:right w:w="0" w:type="dxa"/>
          </w:tblCellMar>
        </w:tblPrEx>
        <w:trPr>
          <w:trHeight w:val="454" w:hRule="atLeast"/>
          <w:jc w:val="center"/>
        </w:trPr>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val="en-US" w:eastAsia="zh-CN" w:bidi="ar"/>
              </w:rPr>
              <w:t>20</w:t>
            </w:r>
            <w:r>
              <w:rPr>
                <w:rFonts w:hint="eastAsia" w:ascii="Nimbus Roman No9 L" w:hAnsi="Nimbus Roman No9 L" w:eastAsia="方正仿宋_GBK" w:cs="Nimbus Roman No9 L"/>
                <w:color w:val="auto"/>
                <w:lang w:bidi="ar"/>
              </w:rPr>
              <w:t>18年</w:t>
            </w:r>
          </w:p>
        </w:tc>
        <w:tc>
          <w:tcPr>
            <w:tcW w:w="1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6675</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9787</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12797</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13646</w:t>
            </w:r>
          </w:p>
        </w:tc>
        <w:tc>
          <w:tcPr>
            <w:tcW w:w="13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42905</w:t>
            </w:r>
          </w:p>
        </w:tc>
      </w:tr>
      <w:tr>
        <w:tblPrEx>
          <w:tblLayout w:type="fixed"/>
          <w:tblCellMar>
            <w:top w:w="0" w:type="dxa"/>
            <w:left w:w="0" w:type="dxa"/>
            <w:bottom w:w="0" w:type="dxa"/>
            <w:right w:w="0" w:type="dxa"/>
          </w:tblCellMar>
        </w:tblPrEx>
        <w:trPr>
          <w:trHeight w:val="454" w:hRule="atLeast"/>
          <w:jc w:val="center"/>
        </w:trPr>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val="en-US" w:eastAsia="zh-CN" w:bidi="ar"/>
              </w:rPr>
              <w:t>20</w:t>
            </w:r>
            <w:r>
              <w:rPr>
                <w:rFonts w:hint="eastAsia" w:ascii="Nimbus Roman No9 L" w:hAnsi="Nimbus Roman No9 L" w:eastAsia="方正仿宋_GBK" w:cs="Nimbus Roman No9 L"/>
                <w:color w:val="auto"/>
                <w:lang w:bidi="ar"/>
              </w:rPr>
              <w:t>19年</w:t>
            </w:r>
          </w:p>
        </w:tc>
        <w:tc>
          <w:tcPr>
            <w:tcW w:w="1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6449</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9358</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11963</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13108</w:t>
            </w:r>
          </w:p>
        </w:tc>
        <w:tc>
          <w:tcPr>
            <w:tcW w:w="13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bidi="ar"/>
              </w:rPr>
              <w:t>40878</w:t>
            </w:r>
          </w:p>
        </w:tc>
      </w:tr>
      <w:tr>
        <w:tblPrEx>
          <w:tblLayout w:type="fixed"/>
          <w:tblCellMar>
            <w:top w:w="0" w:type="dxa"/>
            <w:left w:w="0" w:type="dxa"/>
            <w:bottom w:w="0" w:type="dxa"/>
            <w:right w:w="0" w:type="dxa"/>
          </w:tblCellMar>
        </w:tblPrEx>
        <w:trPr>
          <w:trHeight w:val="454" w:hRule="atLeast"/>
          <w:jc w:val="center"/>
        </w:trPr>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2020年</w:t>
            </w:r>
          </w:p>
        </w:tc>
        <w:tc>
          <w:tcPr>
            <w:tcW w:w="1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val="en-US" w:eastAsia="zh-CN" w:bidi="ar"/>
              </w:rPr>
              <w:t>7886</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val="en-US" w:eastAsia="zh-CN" w:bidi="ar"/>
              </w:rPr>
              <w:t>10650</w:t>
            </w:r>
          </w:p>
        </w:tc>
        <w:tc>
          <w:tcPr>
            <w:tcW w:w="1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val="en-US" w:eastAsia="zh-CN" w:bidi="ar"/>
              </w:rPr>
              <w:t>10235</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val="en-US" w:eastAsia="zh-CN" w:bidi="ar"/>
              </w:rPr>
              <w:t>12850</w:t>
            </w:r>
          </w:p>
        </w:tc>
        <w:tc>
          <w:tcPr>
            <w:tcW w:w="13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bidi="ar"/>
              </w:rPr>
            </w:pPr>
            <w:r>
              <w:rPr>
                <w:rFonts w:hint="eastAsia" w:ascii="Nimbus Roman No9 L" w:hAnsi="Nimbus Roman No9 L" w:eastAsia="方正仿宋_GBK" w:cs="Nimbus Roman No9 L"/>
                <w:color w:val="auto"/>
                <w:lang w:val="en-US" w:eastAsia="zh-CN" w:bidi="ar"/>
              </w:rPr>
              <w:t>41621</w:t>
            </w:r>
          </w:p>
        </w:tc>
      </w:tr>
    </w:tbl>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平远县2016—2020年货运量如图3-2所示。</w:t>
      </w:r>
    </w:p>
    <w:p>
      <w:pPr>
        <w:pStyle w:val="26"/>
        <w:keepNext w:val="0"/>
        <w:keepLines w:val="0"/>
        <w:pageBreakBefore w:val="0"/>
        <w:widowControl w:val="0"/>
        <w:kinsoku/>
        <w:wordWrap/>
        <w:overflowPunct/>
        <w:topLinePunct w:val="0"/>
        <w:autoSpaceDE/>
        <w:autoSpaceDN/>
        <w:bidi w:val="0"/>
        <w:adjustRightInd/>
        <w:snapToGrid w:val="0"/>
        <w:textAlignment w:val="auto"/>
        <w:rPr>
          <w:rFonts w:hint="eastAsia"/>
          <w:color w:val="auto"/>
        </w:rPr>
      </w:pPr>
      <w:r>
        <w:rPr>
          <w:color w:val="auto"/>
        </w:rPr>
        <w:drawing>
          <wp:inline distT="0" distB="0" distL="114300" distR="114300">
            <wp:extent cx="4410710" cy="2695575"/>
            <wp:effectExtent l="4445" t="4445" r="23495" b="508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图3-2  平远县历年（2016—2020）货运量统计</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2016年以来，平远县货物运输量趋于稳定，2020年，平远县共完成货运量687.07万吨，相较于2016年提升12.5%，区域货运通达能力明显提升，货运结构也趋于多元化。公路货运量增长放缓，所占比重呈逐年下降的趋势。但总体来说，平远县货物运输量呈现缓慢增长趋势。</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16" w:name="_Toc1681"/>
      <w:r>
        <w:rPr>
          <w:rFonts w:hint="eastAsia" w:ascii="Nimbus Roman No9 L" w:hAnsi="Nimbus Roman No9 L" w:eastAsia="方正楷体_GBK" w:cs="Nimbus Roman No9 L"/>
          <w:b w:val="0"/>
          <w:bCs/>
          <w:color w:val="auto"/>
          <w:sz w:val="32"/>
          <w:szCs w:val="32"/>
        </w:rPr>
        <w:t>3.2交通量</w:t>
      </w:r>
      <w:r>
        <w:rPr>
          <w:rFonts w:hint="default" w:ascii="Nimbus Roman No9 L" w:hAnsi="Nimbus Roman No9 L" w:eastAsia="方正楷体_GBK" w:cs="Nimbus Roman No9 L"/>
          <w:b w:val="0"/>
          <w:bCs/>
          <w:color w:val="auto"/>
          <w:sz w:val="32"/>
          <w:szCs w:val="32"/>
        </w:rPr>
        <w:t>需求预测</w:t>
      </w:r>
      <w:bookmarkEnd w:id="16"/>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17" w:name="_Toc40953126"/>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3.2.1.运输量预测</w:t>
      </w:r>
      <w:bookmarkEnd w:id="17"/>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（1）多元线性回归预测</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多元线性回归模型是通过两个或两个以上的影响因素作为自变量来解释因变量的变化，模型的形式如下：</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default"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式中，Y为预测对象，又称因变量；x</w:t>
      </w:r>
      <w:r>
        <w:rPr>
          <w:rFonts w:hint="eastAsia" w:ascii="Nimbus Roman No9 L" w:hAnsi="Nimbus Roman No9 L" w:eastAsia="方正仿宋简体" w:cs="Nimbus Roman No9 L"/>
          <w:b w:val="0"/>
          <w:bCs w:val="0"/>
          <w:color w:val="000000" w:themeColor="text1"/>
          <w:kern w:val="2"/>
          <w:sz w:val="32"/>
          <w:szCs w:val="32"/>
          <w:vertAlign w:val="subscript"/>
          <w:lang w:val="en-US" w:eastAsia="zh-CN" w:bidi="ar-SA"/>
          <w14:textFill>
            <w14:solidFill>
              <w14:schemeClr w14:val="tx1"/>
            </w14:solidFill>
          </w14:textFill>
        </w:rPr>
        <w:t>1</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，x</w:t>
      </w:r>
      <w:r>
        <w:rPr>
          <w:rFonts w:hint="eastAsia" w:ascii="Nimbus Roman No9 L" w:hAnsi="Nimbus Roman No9 L" w:eastAsia="方正仿宋简体" w:cs="Nimbus Roman No9 L"/>
          <w:b w:val="0"/>
          <w:bCs w:val="0"/>
          <w:color w:val="000000" w:themeColor="text1"/>
          <w:kern w:val="2"/>
          <w:sz w:val="32"/>
          <w:szCs w:val="32"/>
          <w:vertAlign w:val="subscript"/>
          <w:lang w:val="en-US" w:eastAsia="zh-CN" w:bidi="ar-SA"/>
          <w14:textFill>
            <w14:solidFill>
              <w14:schemeClr w14:val="tx1"/>
            </w14:solidFill>
          </w14:textFill>
        </w:rPr>
        <w:t>2</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，…，x</w:t>
      </w:r>
      <w:r>
        <w:rPr>
          <w:rFonts w:hint="eastAsia" w:ascii="Nimbus Roman No9 L" w:hAnsi="Nimbus Roman No9 L" w:eastAsia="方正仿宋简体" w:cs="Nimbus Roman No9 L"/>
          <w:b w:val="0"/>
          <w:bCs w:val="0"/>
          <w:color w:val="000000" w:themeColor="text1"/>
          <w:kern w:val="2"/>
          <w:sz w:val="32"/>
          <w:szCs w:val="32"/>
          <w:vertAlign w:val="subscript"/>
          <w:lang w:val="en-US" w:eastAsia="zh-CN" w:bidi="ar-SA"/>
          <w14:textFill>
            <w14:solidFill>
              <w14:schemeClr w14:val="tx1"/>
            </w14:solidFill>
          </w14:textFill>
        </w:rPr>
        <w:t>k</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为预测对象的影响因素，又称自变量；b</w:t>
      </w:r>
      <w:r>
        <w:rPr>
          <w:rFonts w:hint="eastAsia" w:ascii="Nimbus Roman No9 L" w:hAnsi="Nimbus Roman No9 L" w:eastAsia="方正仿宋简体" w:cs="Nimbus Roman No9 L"/>
          <w:b w:val="0"/>
          <w:bCs w:val="0"/>
          <w:color w:val="000000" w:themeColor="text1"/>
          <w:kern w:val="2"/>
          <w:sz w:val="32"/>
          <w:szCs w:val="32"/>
          <w:vertAlign w:val="subscript"/>
          <w:lang w:val="en-US" w:eastAsia="zh-CN" w:bidi="ar-SA"/>
          <w14:textFill>
            <w14:solidFill>
              <w14:schemeClr w14:val="tx1"/>
            </w14:solidFill>
          </w14:textFill>
        </w:rPr>
        <w:t>0</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为常数项，b</w:t>
      </w:r>
      <w:r>
        <w:rPr>
          <w:rFonts w:hint="eastAsia" w:ascii="Nimbus Roman No9 L" w:hAnsi="Nimbus Roman No9 L" w:eastAsia="方正仿宋简体" w:cs="Nimbus Roman No9 L"/>
          <w:b w:val="0"/>
          <w:bCs w:val="0"/>
          <w:color w:val="000000" w:themeColor="text1"/>
          <w:kern w:val="2"/>
          <w:sz w:val="32"/>
          <w:szCs w:val="32"/>
          <w:vertAlign w:val="subscript"/>
          <w:lang w:val="en-US" w:eastAsia="zh-CN" w:bidi="ar-SA"/>
          <w14:textFill>
            <w14:solidFill>
              <w14:schemeClr w14:val="tx1"/>
            </w14:solidFill>
          </w14:textFill>
        </w:rPr>
        <w:t>1</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，b</w:t>
      </w:r>
      <w:r>
        <w:rPr>
          <w:rFonts w:hint="eastAsia" w:ascii="Nimbus Roman No9 L" w:hAnsi="Nimbus Roman No9 L" w:eastAsia="方正仿宋简体" w:cs="Nimbus Roman No9 L"/>
          <w:b w:val="0"/>
          <w:bCs w:val="0"/>
          <w:color w:val="000000" w:themeColor="text1"/>
          <w:kern w:val="2"/>
          <w:sz w:val="32"/>
          <w:szCs w:val="32"/>
          <w:vertAlign w:val="subscript"/>
          <w:lang w:val="en-US" w:eastAsia="zh-CN" w:bidi="ar-SA"/>
          <w14:textFill>
            <w14:solidFill>
              <w14:schemeClr w14:val="tx1"/>
            </w14:solidFill>
          </w14:textFill>
        </w:rPr>
        <w:t>2</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，…，b</w:t>
      </w:r>
      <w:r>
        <w:rPr>
          <w:rFonts w:hint="eastAsia" w:ascii="Nimbus Roman No9 L" w:hAnsi="Nimbus Roman No9 L" w:eastAsia="方正仿宋简体" w:cs="Nimbus Roman No9 L"/>
          <w:b w:val="0"/>
          <w:bCs w:val="0"/>
          <w:color w:val="000000" w:themeColor="text1"/>
          <w:kern w:val="2"/>
          <w:sz w:val="32"/>
          <w:szCs w:val="32"/>
          <w:vertAlign w:val="subscript"/>
          <w:lang w:val="en-US" w:eastAsia="zh-CN" w:bidi="ar-SA"/>
          <w14:textFill>
            <w14:solidFill>
              <w14:schemeClr w14:val="tx1"/>
            </w14:solidFill>
          </w14:textFill>
        </w:rPr>
        <w:t>k</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为回归系数；e为随机误差项。</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建立多元线性回归模型时，借助SPSS软件，分别建立2016年—2020年客运量与人均GDP、城市化率、第三产业增加值比重，以及2016—2020年货运量与GDP、第二产业增加值比重的多元线性回归模型，得到2020年、2021年平远县客货运输量的预测结果。如表3-3所示。</w:t>
      </w:r>
    </w:p>
    <w:p>
      <w:pPr>
        <w:keepNext w:val="0"/>
        <w:keepLines w:val="0"/>
        <w:pageBreakBefore w:val="0"/>
        <w:widowControl w:val="0"/>
        <w:kinsoku/>
        <w:wordWrap/>
        <w:overflowPunct/>
        <w:topLinePunct w:val="0"/>
        <w:autoSpaceDE/>
        <w:autoSpaceDN/>
        <w:bidi w:val="0"/>
        <w:adjustRightInd/>
        <w:snapToGrid/>
        <w:spacing w:line="560" w:lineRule="exact"/>
        <w:ind w:firstLine="600"/>
        <w:jc w:val="center"/>
        <w:textAlignment w:val="auto"/>
        <w:rPr>
          <w:rFonts w:hint="eastAsia"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表3-3  平远县客货运量线性回归方程</w:t>
      </w:r>
    </w:p>
    <w:tbl>
      <w:tblPr>
        <w:tblStyle w:val="41"/>
        <w:tblW w:w="95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4823"/>
        <w:gridCol w:w="1275"/>
        <w:gridCol w:w="1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092" w:type="dxa"/>
            <w:vMerge w:val="restart"/>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r>
              <w:rPr>
                <w:rFonts w:hint="default" w:ascii="Nimbus Roman No9 L" w:hAnsi="Nimbus Roman No9 L" w:cs="Nimbus Roman No9 L"/>
                <w:color w:val="auto"/>
                <w:sz w:val="28"/>
                <w:szCs w:val="28"/>
              </w:rPr>
              <w:t>预测指标</w:t>
            </w:r>
          </w:p>
        </w:tc>
        <w:tc>
          <w:tcPr>
            <w:tcW w:w="4823" w:type="dxa"/>
            <w:vMerge w:val="restart"/>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r>
              <w:rPr>
                <w:rFonts w:hint="default" w:ascii="Nimbus Roman No9 L" w:hAnsi="Nimbus Roman No9 L" w:cs="Nimbus Roman No9 L"/>
                <w:color w:val="auto"/>
                <w:sz w:val="28"/>
                <w:szCs w:val="28"/>
              </w:rPr>
              <w:t>预测模型</w:t>
            </w:r>
          </w:p>
        </w:tc>
        <w:tc>
          <w:tcPr>
            <w:tcW w:w="2655" w:type="dxa"/>
            <w:gridSpan w:val="2"/>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r>
              <w:rPr>
                <w:rFonts w:hint="default" w:ascii="Nimbus Roman No9 L" w:hAnsi="Nimbus Roman No9 L" w:cs="Nimbus Roman No9 L"/>
                <w:color w:val="auto"/>
                <w:sz w:val="28"/>
                <w:szCs w:val="28"/>
              </w:rPr>
              <w:t>预测结果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092" w:type="dxa"/>
            <w:vMerge w:val="continue"/>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p>
        </w:tc>
        <w:tc>
          <w:tcPr>
            <w:tcW w:w="4823" w:type="dxa"/>
            <w:vMerge w:val="continue"/>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p>
        </w:tc>
        <w:tc>
          <w:tcPr>
            <w:tcW w:w="1275" w:type="dxa"/>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r>
              <w:rPr>
                <w:rFonts w:hint="default" w:ascii="Nimbus Roman No9 L" w:hAnsi="Nimbus Roman No9 L" w:cs="Nimbus Roman No9 L"/>
                <w:color w:val="auto"/>
                <w:sz w:val="28"/>
                <w:szCs w:val="28"/>
              </w:rPr>
              <w:t>2020年</w:t>
            </w:r>
          </w:p>
        </w:tc>
        <w:tc>
          <w:tcPr>
            <w:tcW w:w="1380" w:type="dxa"/>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r>
              <w:rPr>
                <w:rFonts w:hint="default" w:ascii="Nimbus Roman No9 L" w:hAnsi="Nimbus Roman No9 L" w:cs="Nimbus Roman No9 L"/>
                <w:color w:val="auto"/>
                <w:sz w:val="28"/>
                <w:szCs w:val="28"/>
              </w:rPr>
              <w:t>2021年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092"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客运量（万人次）</w:t>
            </w:r>
          </w:p>
        </w:tc>
        <w:tc>
          <w:tcPr>
            <w:tcW w:w="4823"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Y=0.103</w:t>
            </w:r>
            <w:r>
              <w:rPr>
                <w:rFonts w:hint="eastAsia" w:ascii="Nimbus Roman No9 L" w:hAnsi="Nimbus Roman No9 L" w:eastAsia="方正仿宋_GBK" w:cs="Nimbus Roman No9 L"/>
                <w:i/>
                <w:iCs/>
                <w:color w:val="auto"/>
                <w:lang w:val="en-US" w:eastAsia="zh-CN" w:bidi="ar"/>
              </w:rPr>
              <w:t>X</w:t>
            </w:r>
            <w:r>
              <w:rPr>
                <w:rFonts w:hint="eastAsia" w:ascii="Nimbus Roman No9 L" w:hAnsi="Nimbus Roman No9 L" w:eastAsia="方正仿宋_GBK" w:cs="Nimbus Roman No9 L"/>
                <w:color w:val="auto"/>
                <w:vertAlign w:val="subscript"/>
                <w:lang w:val="en-US" w:eastAsia="zh-CN" w:bidi="ar"/>
              </w:rPr>
              <w:t>1</w:t>
            </w:r>
            <w:r>
              <w:rPr>
                <w:rFonts w:hint="eastAsia" w:ascii="Nimbus Roman No9 L" w:hAnsi="Nimbus Roman No9 L" w:eastAsia="方正仿宋_GBK" w:cs="Nimbus Roman No9 L"/>
                <w:color w:val="auto"/>
                <w:lang w:val="en-US" w:eastAsia="zh-CN" w:bidi="ar"/>
              </w:rPr>
              <w:t>-30255.5</w:t>
            </w:r>
            <w:r>
              <w:rPr>
                <w:rFonts w:hint="eastAsia" w:ascii="Nimbus Roman No9 L" w:hAnsi="Nimbus Roman No9 L" w:eastAsia="方正仿宋_GBK" w:cs="Nimbus Roman No9 L"/>
                <w:i/>
                <w:iCs/>
                <w:color w:val="auto"/>
                <w:lang w:val="en-US" w:eastAsia="zh-CN" w:bidi="ar"/>
              </w:rPr>
              <w:t>X</w:t>
            </w:r>
            <w:r>
              <w:rPr>
                <w:rFonts w:hint="eastAsia" w:ascii="Nimbus Roman No9 L" w:hAnsi="Nimbus Roman No9 L" w:eastAsia="方正仿宋_GBK" w:cs="Nimbus Roman No9 L"/>
                <w:color w:val="auto"/>
                <w:vertAlign w:val="subscript"/>
                <w:lang w:val="en-US" w:eastAsia="zh-CN" w:bidi="ar"/>
              </w:rPr>
              <w:t>2</w:t>
            </w:r>
            <w:r>
              <w:rPr>
                <w:rFonts w:hint="eastAsia" w:ascii="Nimbus Roman No9 L" w:hAnsi="Nimbus Roman No9 L" w:eastAsia="方正仿宋_GBK" w:cs="Nimbus Roman No9 L"/>
                <w:color w:val="auto"/>
                <w:lang w:val="en-US" w:eastAsia="zh-CN" w:bidi="ar"/>
              </w:rPr>
              <w:t>-4411.5</w:t>
            </w:r>
            <w:r>
              <w:rPr>
                <w:rFonts w:hint="eastAsia" w:ascii="Nimbus Roman No9 L" w:hAnsi="Nimbus Roman No9 L" w:eastAsia="方正仿宋_GBK" w:cs="Nimbus Roman No9 L"/>
                <w:i/>
                <w:iCs/>
                <w:color w:val="auto"/>
                <w:lang w:val="en-US" w:eastAsia="zh-CN" w:bidi="ar"/>
              </w:rPr>
              <w:t>X</w:t>
            </w:r>
            <w:r>
              <w:rPr>
                <w:rFonts w:hint="eastAsia" w:ascii="Nimbus Roman No9 L" w:hAnsi="Nimbus Roman No9 L" w:eastAsia="方正仿宋_GBK" w:cs="Nimbus Roman No9 L"/>
                <w:color w:val="auto"/>
                <w:vertAlign w:val="subscript"/>
                <w:lang w:val="en-US" w:eastAsia="zh-CN" w:bidi="ar"/>
              </w:rPr>
              <w:t>3</w:t>
            </w:r>
            <w:r>
              <w:rPr>
                <w:rFonts w:hint="eastAsia" w:ascii="Nimbus Roman No9 L" w:hAnsi="Nimbus Roman No9 L" w:eastAsia="方正仿宋_GBK" w:cs="Nimbus Roman No9 L"/>
                <w:color w:val="auto"/>
                <w:lang w:val="en-US" w:eastAsia="zh-CN" w:bidi="ar"/>
              </w:rPr>
              <w:t>+12333.68</w:t>
            </w:r>
          </w:p>
        </w:tc>
        <w:tc>
          <w:tcPr>
            <w:tcW w:w="1275"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323.96</w:t>
            </w:r>
          </w:p>
        </w:tc>
        <w:tc>
          <w:tcPr>
            <w:tcW w:w="1380"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353.41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92"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货运量（万吨）</w:t>
            </w:r>
          </w:p>
        </w:tc>
        <w:tc>
          <w:tcPr>
            <w:tcW w:w="4823"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Y=-5.58</w:t>
            </w:r>
            <w:r>
              <w:rPr>
                <w:rFonts w:hint="eastAsia" w:ascii="Nimbus Roman No9 L" w:hAnsi="Nimbus Roman No9 L" w:eastAsia="方正仿宋_GBK" w:cs="Nimbus Roman No9 L"/>
                <w:i/>
                <w:iCs/>
                <w:color w:val="auto"/>
                <w:lang w:val="en-US" w:eastAsia="zh-CN" w:bidi="ar"/>
              </w:rPr>
              <w:t>X</w:t>
            </w:r>
            <w:r>
              <w:rPr>
                <w:rFonts w:hint="eastAsia" w:ascii="Nimbus Roman No9 L" w:hAnsi="Nimbus Roman No9 L" w:eastAsia="方正仿宋_GBK" w:cs="Nimbus Roman No9 L"/>
                <w:color w:val="auto"/>
                <w:vertAlign w:val="subscript"/>
                <w:lang w:val="en-US" w:eastAsia="zh-CN" w:bidi="ar"/>
              </w:rPr>
              <w:t>1</w:t>
            </w:r>
            <w:r>
              <w:rPr>
                <w:rFonts w:hint="eastAsia" w:ascii="Nimbus Roman No9 L" w:hAnsi="Nimbus Roman No9 L" w:eastAsia="方正仿宋_GBK" w:cs="Nimbus Roman No9 L"/>
                <w:color w:val="auto"/>
                <w:lang w:val="en-US" w:eastAsia="zh-CN" w:bidi="ar"/>
              </w:rPr>
              <w:t>-2663.3</w:t>
            </w:r>
            <w:r>
              <w:rPr>
                <w:rFonts w:hint="eastAsia" w:ascii="Nimbus Roman No9 L" w:hAnsi="Nimbus Roman No9 L" w:eastAsia="方正仿宋_GBK" w:cs="Nimbus Roman No9 L"/>
                <w:i/>
                <w:iCs/>
                <w:color w:val="auto"/>
                <w:lang w:val="en-US" w:eastAsia="zh-CN" w:bidi="ar"/>
              </w:rPr>
              <w:t>X</w:t>
            </w:r>
            <w:r>
              <w:rPr>
                <w:rFonts w:hint="eastAsia" w:ascii="Nimbus Roman No9 L" w:hAnsi="Nimbus Roman No9 L" w:eastAsia="方正仿宋_GBK" w:cs="Nimbus Roman No9 L"/>
                <w:color w:val="auto"/>
                <w:vertAlign w:val="subscript"/>
                <w:lang w:val="en-US" w:eastAsia="zh-CN" w:bidi="ar"/>
              </w:rPr>
              <w:t>2</w:t>
            </w:r>
            <w:r>
              <w:rPr>
                <w:rFonts w:hint="eastAsia" w:ascii="Nimbus Roman No9 L" w:hAnsi="Nimbus Roman No9 L" w:eastAsia="方正仿宋_GBK" w:cs="Nimbus Roman No9 L"/>
                <w:color w:val="auto"/>
                <w:lang w:val="en-US" w:eastAsia="zh-CN" w:bidi="ar"/>
              </w:rPr>
              <w:t>+1121.4</w:t>
            </w:r>
          </w:p>
        </w:tc>
        <w:tc>
          <w:tcPr>
            <w:tcW w:w="1275"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702.45</w:t>
            </w:r>
          </w:p>
        </w:tc>
        <w:tc>
          <w:tcPr>
            <w:tcW w:w="1380"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722.53</w:t>
            </w:r>
          </w:p>
        </w:tc>
      </w:tr>
    </w:tbl>
    <w:p>
      <w:pPr>
        <w:keepNext w:val="0"/>
        <w:keepLines w:val="0"/>
        <w:pageBreakBefore w:val="0"/>
        <w:widowControl w:val="0"/>
        <w:kinsoku/>
        <w:wordWrap/>
        <w:overflowPunct/>
        <w:topLinePunct w:val="0"/>
        <w:autoSpaceDE/>
        <w:autoSpaceDN/>
        <w:bidi w:val="0"/>
        <w:adjustRightInd/>
        <w:snapToGrid/>
        <w:spacing w:line="300" w:lineRule="exact"/>
        <w:ind w:left="480" w:leftChars="0" w:hanging="480" w:hangingChars="200"/>
        <w:textAlignment w:val="auto"/>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注：客运量预测模型中，自变量</w:t>
      </w:r>
      <w:r>
        <w:rPr>
          <w:rFonts w:hint="default" w:ascii="Nimbus Roman No9 L" w:hAnsi="Nimbus Roman No9 L" w:eastAsia="方正楷体_GBK" w:cs="Nimbus Roman No9 L"/>
          <w:i/>
          <w:color w:val="auto"/>
          <w:sz w:val="24"/>
          <w:szCs w:val="24"/>
        </w:rPr>
        <w:t>X</w:t>
      </w:r>
      <w:r>
        <w:rPr>
          <w:rFonts w:hint="default" w:ascii="Nimbus Roman No9 L" w:hAnsi="Nimbus Roman No9 L" w:eastAsia="方正楷体_GBK" w:cs="Nimbus Roman No9 L"/>
          <w:color w:val="auto"/>
          <w:sz w:val="24"/>
          <w:szCs w:val="24"/>
          <w:vertAlign w:val="subscript"/>
        </w:rPr>
        <w:t>1</w:t>
      </w:r>
      <w:r>
        <w:rPr>
          <w:rFonts w:hint="default" w:ascii="Nimbus Roman No9 L" w:hAnsi="Nimbus Roman No9 L" w:eastAsia="方正楷体_GBK" w:cs="Nimbus Roman No9 L"/>
          <w:color w:val="auto"/>
          <w:sz w:val="24"/>
          <w:szCs w:val="24"/>
        </w:rPr>
        <w:t>、</w:t>
      </w:r>
      <w:r>
        <w:rPr>
          <w:rFonts w:hint="default" w:ascii="Nimbus Roman No9 L" w:hAnsi="Nimbus Roman No9 L" w:eastAsia="方正楷体_GBK" w:cs="Nimbus Roman No9 L"/>
          <w:i/>
          <w:color w:val="auto"/>
          <w:sz w:val="24"/>
          <w:szCs w:val="24"/>
        </w:rPr>
        <w:t>X</w:t>
      </w:r>
      <w:r>
        <w:rPr>
          <w:rFonts w:hint="default" w:ascii="Nimbus Roman No9 L" w:hAnsi="Nimbus Roman No9 L" w:eastAsia="方正楷体_GBK" w:cs="Nimbus Roman No9 L"/>
          <w:color w:val="auto"/>
          <w:sz w:val="24"/>
          <w:szCs w:val="24"/>
          <w:vertAlign w:val="subscript"/>
        </w:rPr>
        <w:t>2</w:t>
      </w:r>
      <w:r>
        <w:rPr>
          <w:rFonts w:hint="default" w:ascii="Nimbus Roman No9 L" w:hAnsi="Nimbus Roman No9 L" w:eastAsia="方正楷体_GBK" w:cs="Nimbus Roman No9 L"/>
          <w:color w:val="auto"/>
          <w:sz w:val="24"/>
          <w:szCs w:val="24"/>
        </w:rPr>
        <w:t>、</w:t>
      </w:r>
      <w:r>
        <w:rPr>
          <w:rFonts w:hint="default" w:ascii="Nimbus Roman No9 L" w:hAnsi="Nimbus Roman No9 L" w:eastAsia="方正楷体_GBK" w:cs="Nimbus Roman No9 L"/>
          <w:i/>
          <w:color w:val="auto"/>
          <w:sz w:val="24"/>
          <w:szCs w:val="24"/>
        </w:rPr>
        <w:t>X</w:t>
      </w:r>
      <w:r>
        <w:rPr>
          <w:rFonts w:hint="default" w:ascii="Nimbus Roman No9 L" w:hAnsi="Nimbus Roman No9 L" w:eastAsia="方正楷体_GBK" w:cs="Nimbus Roman No9 L"/>
          <w:color w:val="auto"/>
          <w:sz w:val="24"/>
          <w:szCs w:val="24"/>
          <w:vertAlign w:val="subscript"/>
        </w:rPr>
        <w:t>3</w:t>
      </w:r>
      <w:r>
        <w:rPr>
          <w:rFonts w:hint="default" w:ascii="Nimbus Roman No9 L" w:hAnsi="Nimbus Roman No9 L" w:eastAsia="方正楷体_GBK" w:cs="Nimbus Roman No9 L"/>
          <w:color w:val="auto"/>
          <w:sz w:val="24"/>
          <w:szCs w:val="24"/>
        </w:rPr>
        <w:t>分别表示人均GDP、城市化率、第三产</w:t>
      </w:r>
      <w:r>
        <w:rPr>
          <w:rFonts w:hint="default" w:ascii="Nimbus Roman No9 L" w:hAnsi="Nimbus Roman No9 L" w:eastAsia="方正楷体_GBK" w:cs="Nimbus Roman No9 L"/>
          <w:color w:val="auto"/>
          <w:spacing w:val="-6"/>
          <w:sz w:val="24"/>
          <w:szCs w:val="24"/>
        </w:rPr>
        <w:t>业增加值比重；货运量预测模型中，</w:t>
      </w:r>
      <w:r>
        <w:rPr>
          <w:rFonts w:hint="default" w:ascii="Nimbus Roman No9 L" w:hAnsi="Nimbus Roman No9 L" w:eastAsia="方正楷体_GBK" w:cs="Nimbus Roman No9 L"/>
          <w:i/>
          <w:color w:val="auto"/>
          <w:spacing w:val="-6"/>
          <w:sz w:val="24"/>
          <w:szCs w:val="24"/>
        </w:rPr>
        <w:t>X</w:t>
      </w:r>
      <w:r>
        <w:rPr>
          <w:rFonts w:hint="default" w:ascii="Nimbus Roman No9 L" w:hAnsi="Nimbus Roman No9 L" w:eastAsia="方正楷体_GBK" w:cs="Nimbus Roman No9 L"/>
          <w:color w:val="auto"/>
          <w:spacing w:val="-6"/>
          <w:sz w:val="24"/>
          <w:szCs w:val="24"/>
          <w:vertAlign w:val="subscript"/>
        </w:rPr>
        <w:t>1</w:t>
      </w:r>
      <w:r>
        <w:rPr>
          <w:rFonts w:hint="default" w:ascii="Nimbus Roman No9 L" w:hAnsi="Nimbus Roman No9 L" w:eastAsia="方正楷体_GBK" w:cs="Nimbus Roman No9 L"/>
          <w:color w:val="auto"/>
          <w:spacing w:val="-6"/>
          <w:sz w:val="24"/>
          <w:szCs w:val="24"/>
        </w:rPr>
        <w:t>、</w:t>
      </w:r>
      <w:r>
        <w:rPr>
          <w:rFonts w:hint="default" w:ascii="Nimbus Roman No9 L" w:hAnsi="Nimbus Roman No9 L" w:eastAsia="方正楷体_GBK" w:cs="Nimbus Roman No9 L"/>
          <w:i/>
          <w:color w:val="auto"/>
          <w:spacing w:val="-6"/>
          <w:sz w:val="24"/>
          <w:szCs w:val="24"/>
        </w:rPr>
        <w:t>X</w:t>
      </w:r>
      <w:r>
        <w:rPr>
          <w:rFonts w:hint="default" w:ascii="Nimbus Roman No9 L" w:hAnsi="Nimbus Roman No9 L" w:eastAsia="方正楷体_GBK" w:cs="Nimbus Roman No9 L"/>
          <w:color w:val="auto"/>
          <w:spacing w:val="-6"/>
          <w:sz w:val="24"/>
          <w:szCs w:val="24"/>
          <w:vertAlign w:val="subscript"/>
        </w:rPr>
        <w:t>2</w:t>
      </w:r>
      <w:r>
        <w:rPr>
          <w:rFonts w:hint="default" w:ascii="Nimbus Roman No9 L" w:hAnsi="Nimbus Roman No9 L" w:eastAsia="方正楷体_GBK" w:cs="Nimbus Roman No9 L"/>
          <w:color w:val="auto"/>
          <w:spacing w:val="-6"/>
          <w:sz w:val="24"/>
          <w:szCs w:val="24"/>
        </w:rPr>
        <w:t>分别表示GDP、第二产业增加值比重。</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模型显著性水平检验如表3-4所示。</w:t>
      </w:r>
    </w:p>
    <w:p>
      <w:pPr>
        <w:pStyle w:val="27"/>
        <w:keepNext w:val="0"/>
        <w:keepLines w:val="0"/>
        <w:pageBreakBefore w:val="0"/>
        <w:widowControl w:val="0"/>
        <w:kinsoku/>
        <w:wordWrap/>
        <w:overflowPunct/>
        <w:topLinePunct w:val="0"/>
        <w:autoSpaceDE/>
        <w:autoSpaceDN/>
        <w:bidi w:val="0"/>
        <w:adjustRightInd/>
        <w:snapToGrid/>
        <w:spacing w:before="0" w:beforeLines="0" w:line="500" w:lineRule="exact"/>
        <w:textAlignment w:val="auto"/>
        <w:rPr>
          <w:rFonts w:hint="eastAsia" w:ascii="Nimbus Roman No9 L" w:hAnsi="Nimbus Roman No9 L" w:eastAsia="方正黑体_GBK" w:cs="Nimbus Roman No9 L"/>
          <w:b w:val="0"/>
          <w:bCs/>
          <w:color w:val="auto"/>
          <w:kern w:val="2"/>
          <w:sz w:val="32"/>
          <w:szCs w:val="32"/>
          <w:lang w:val="en-US" w:eastAsia="zh-CN" w:bidi="ar-SA"/>
        </w:rPr>
      </w:pPr>
      <w:r>
        <w:rPr>
          <w:rFonts w:hint="eastAsia" w:ascii="Nimbus Roman No9 L" w:hAnsi="Nimbus Roman No9 L" w:eastAsia="方正黑体_GBK" w:cs="Nimbus Roman No9 L"/>
          <w:b w:val="0"/>
          <w:bCs/>
          <w:color w:val="auto"/>
          <w:kern w:val="2"/>
          <w:sz w:val="32"/>
          <w:szCs w:val="32"/>
          <w:lang w:val="en-US" w:eastAsia="zh-CN" w:bidi="ar-SA"/>
        </w:rPr>
        <w:t>表3-4  多元线性回归模型显著性水平</w:t>
      </w:r>
    </w:p>
    <w:tbl>
      <w:tblPr>
        <w:tblStyle w:val="41"/>
        <w:tblW w:w="95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360"/>
        <w:gridCol w:w="2359"/>
        <w:gridCol w:w="2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491" w:type="dxa"/>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r>
              <w:rPr>
                <w:rFonts w:hint="default" w:ascii="Nimbus Roman No9 L" w:hAnsi="Nimbus Roman No9 L" w:cs="Nimbus Roman No9 L"/>
                <w:color w:val="auto"/>
                <w:sz w:val="28"/>
                <w:szCs w:val="28"/>
              </w:rPr>
              <w:t>预测指标</w:t>
            </w:r>
          </w:p>
        </w:tc>
        <w:tc>
          <w:tcPr>
            <w:tcW w:w="2360" w:type="dxa"/>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r>
              <w:rPr>
                <w:rFonts w:hint="default" w:ascii="Nimbus Roman No9 L" w:hAnsi="Nimbus Roman No9 L" w:cs="Nimbus Roman No9 L"/>
                <w:color w:val="auto"/>
                <w:sz w:val="28"/>
                <w:szCs w:val="28"/>
              </w:rPr>
              <w:t>拟合优度R2</w:t>
            </w:r>
          </w:p>
        </w:tc>
        <w:tc>
          <w:tcPr>
            <w:tcW w:w="2359" w:type="dxa"/>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r>
              <w:rPr>
                <w:rFonts w:hint="default" w:ascii="Nimbus Roman No9 L" w:hAnsi="Nimbus Roman No9 L" w:cs="Nimbus Roman No9 L"/>
                <w:color w:val="auto"/>
                <w:sz w:val="28"/>
                <w:szCs w:val="28"/>
              </w:rPr>
              <w:t>显著性F检验值</w:t>
            </w:r>
          </w:p>
        </w:tc>
        <w:tc>
          <w:tcPr>
            <w:tcW w:w="2360" w:type="dxa"/>
            <w:shd w:val="clear" w:color="auto"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Nimbus Roman No9 L" w:hAnsi="Nimbus Roman No9 L" w:cs="Nimbus Roman No9 L"/>
                <w:color w:val="auto"/>
                <w:sz w:val="28"/>
                <w:szCs w:val="28"/>
              </w:rPr>
            </w:pPr>
            <w:r>
              <w:rPr>
                <w:rFonts w:hint="default" w:ascii="Nimbus Roman No9 L" w:hAnsi="Nimbus Roman No9 L" w:cs="Nimbus Roman No9 L"/>
                <w:color w:val="auto"/>
                <w:sz w:val="28"/>
                <w:szCs w:val="28"/>
              </w:rPr>
              <w:t>P值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91"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客运量</w:t>
            </w:r>
          </w:p>
        </w:tc>
        <w:tc>
          <w:tcPr>
            <w:tcW w:w="2360"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0.99</w:t>
            </w:r>
          </w:p>
        </w:tc>
        <w:tc>
          <w:tcPr>
            <w:tcW w:w="2359"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78.23</w:t>
            </w:r>
          </w:p>
        </w:tc>
        <w:tc>
          <w:tcPr>
            <w:tcW w:w="2360"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2491"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货运量</w:t>
            </w:r>
          </w:p>
        </w:tc>
        <w:tc>
          <w:tcPr>
            <w:tcW w:w="2360"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0.67</w:t>
            </w:r>
          </w:p>
        </w:tc>
        <w:tc>
          <w:tcPr>
            <w:tcW w:w="2359"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58.45</w:t>
            </w:r>
          </w:p>
        </w:tc>
        <w:tc>
          <w:tcPr>
            <w:tcW w:w="2360" w:type="dxa"/>
            <w:vAlign w:val="center"/>
          </w:tcPr>
          <w:p>
            <w:pPr>
              <w:pStyle w:val="3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Nimbus Roman No9 L" w:hAnsi="Nimbus Roman No9 L" w:eastAsia="方正仿宋_GBK" w:cs="Nimbus Roman No9 L"/>
                <w:color w:val="auto"/>
                <w:lang w:val="en-US" w:eastAsia="zh-CN" w:bidi="ar"/>
              </w:rPr>
            </w:pPr>
            <w:r>
              <w:rPr>
                <w:rFonts w:hint="eastAsia" w:ascii="Nimbus Roman No9 L" w:hAnsi="Nimbus Roman No9 L" w:eastAsia="方正仿宋_GBK" w:cs="Nimbus Roman No9 L"/>
                <w:color w:val="auto"/>
                <w:lang w:val="en-US" w:eastAsia="zh-CN" w:bidi="ar"/>
              </w:rPr>
              <w:t>0.00</w:t>
            </w:r>
          </w:p>
        </w:tc>
      </w:tr>
    </w:tbl>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lang w:val="en-US" w:eastAsia="zh-CN"/>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在Spss得到的拟合系数和显著性的F检验值可以看出，进行线性回归模拟得到的回归方程具有一定的可靠度，可以用来预测未来几年内平远县的客运量及货运量的大致范围，同时结合实际做出切实可行的“十四五”综合交通运输规划。</w:t>
      </w: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b w:val="0"/>
          <w:bCs/>
          <w:color w:val="auto"/>
        </w:rPr>
      </w:pPr>
      <w:bookmarkStart w:id="18" w:name="_Toc26660"/>
      <w:r>
        <w:rPr>
          <w:rFonts w:hint="eastAsia" w:ascii="方正黑体_GBK" w:hAnsi="方正黑体_GBK" w:eastAsia="方正黑体_GBK" w:cs="方正黑体_GBK"/>
          <w:b w:val="0"/>
          <w:bCs/>
          <w:color w:val="auto"/>
        </w:rPr>
        <w:t>四、发展环境与相关规划</w:t>
      </w:r>
      <w:bookmarkEnd w:id="18"/>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19" w:name="_Toc9097"/>
      <w:r>
        <w:rPr>
          <w:rFonts w:hint="default" w:ascii="Nimbus Roman No9 L" w:hAnsi="Nimbus Roman No9 L" w:eastAsia="方正楷体_GBK" w:cs="Nimbus Roman No9 L"/>
          <w:b w:val="0"/>
          <w:bCs/>
          <w:color w:val="auto"/>
          <w:sz w:val="32"/>
          <w:szCs w:val="32"/>
        </w:rPr>
        <w:t>4.1国家层面</w:t>
      </w:r>
      <w:bookmarkEnd w:id="19"/>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4.1.1中华人民共和国国民经济和社会发展第十四个五年规划和2035年远景目标纲要</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中华人民共和国国民经济和社会发展第十四个五年规划和2035年远景目标纲要》提出，加快建设交通强国。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速铁路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圈交通一体化，加快城际铁路、市域（郊）铁路建设，构建高速公路环线系统，有序推进城市轨道交通发展。提高交通通达深度，推动区域性铁路建设，加快沿边抵边公路建设，继续推进“四好农村路”建设，完善道路安全设施。构建多层级、一体化综合交通枢纽体系，优化枢纽场站布局、促进集约综合开发，完善集疏运系统，发展旅客联程运输和货物多式联运，推广全程“一站式”“一单制”服务。推进中欧班列集结中心建设。深入推进铁路企业改革，全面深化空管体制改革，推动公路收费制度和养护体制改革。</w:t>
      </w:r>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4.1.2国家综合立体交通网规划纲要</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2021年2月，中共中央、国务院印发的《国家综合立体交通网规划纲要》指出：我国将在十四五至中远期内构建“6主轴、7走廊、8通道”综合立体交通骨干网，十四五时期基本建成八纵八横的高铁网、国家高速公路主线基本贯通，现代化机场体系基本形成。在提升运输服务品质上，发展一站式出行、电子客票、多样化客运；发展多式联运、一单到底、电子运单、道路货运创新集约发展，完善城市配送网络降低物流成本。在提升绿色智慧水平上，强化科技创新能力，推进新型交通基础设施建设和综合交通大数据中心体系建设，提效能、扩功能、增动能。在推进高水平对外开放方面，建设互联互通、立体化、多元化的全球交通网络和国际物流供应链体系，深化交通运输多领域交流合作。</w:t>
      </w:r>
    </w:p>
    <w:p>
      <w:pPr>
        <w:pageBreakBefore w:val="0"/>
        <w:widowControl w:val="0"/>
        <w:kinsoku/>
        <w:wordWrap/>
        <w:overflowPunct/>
        <w:topLinePunct w:val="0"/>
        <w:autoSpaceDE/>
        <w:autoSpaceDN/>
        <w:bidi w:val="0"/>
        <w:adjustRightInd/>
        <w:snapToGrid/>
        <w:spacing w:line="560" w:lineRule="exact"/>
        <w:ind w:firstLine="600"/>
        <w:textAlignment w:val="auto"/>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pPr>
      <w:bookmarkStart w:id="20" w:name="_Toc14700"/>
      <w:r>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t>4.2区域层面</w:t>
      </w:r>
      <w:bookmarkEnd w:id="20"/>
    </w:p>
    <w:p>
      <w:pPr>
        <w:pageBreakBefore w:val="0"/>
        <w:widowControl w:val="0"/>
        <w:kinsoku/>
        <w:wordWrap/>
        <w:overflowPunct/>
        <w:topLinePunct w:val="0"/>
        <w:autoSpaceDE/>
        <w:autoSpaceDN/>
        <w:bidi w:val="0"/>
        <w:adjustRightInd/>
        <w:snapToGrid/>
        <w:spacing w:line="560" w:lineRule="exact"/>
        <w:ind w:firstLine="600"/>
        <w:textAlignment w:val="auto"/>
        <w:rPr>
          <w:rFonts w:hint="default"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4.2.1广东省国民经济和社会发展第十四个五年规划和二〇三五年远景目标纲要</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四五”时期是我国开启全面建设社会主义现代化国家新征程的第一个五年，是广东奋力在全面建设社会主义现代化国家新征程中走在全国前列、创造新的辉煌的第一个五年。中国共产党广东省第十二届委员会第十二次全体会议认真学习贯彻党的十九届五中全会精神，深入贯彻习近平总书记对广东系列重要讲话和重要指示批示精神，就制定广东省国民经济和社会发展第十四个五年规划和二〇三五年远景目标提出以下建议。</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建议中，有关广东省十四五综合交通体系发展规划内容如下：十四五期间，广东省要加快建设现代流通体系。抓好交通强国建设试点，打造贯通全省、畅通国内、连接全球的“12312”现代化交通体系。加快推进铁路、高速公路、世界级机场群和港口群等重大交通设施建设，推动“市市通350高铁”，加快推进“5+4”骨干机场项目、通用机场和货运机场建设，大力推进珠江口跨江跨海通道、西部陆海新通道等项目建设，加强国际铁路货运和航空货运能力建设，加密国际航空、海运、铁路运输班次。加快农村公路建设提挡升级。完善提升西江、北江、东江航运系统。完善现代商贸流通体系，推动商贸流通设施改造升级，推进物流标准化，发展智能物流，培育具有全球竞争力的流通企业。支持佛山建设生产服务型国家物流枢纽。加快建设重要产品追溯</w:t>
      </w:r>
      <w:r>
        <w:rPr>
          <w:rFonts w:hint="eastAsia" w:ascii="Nimbus Roman No9 L" w:hAnsi="Nimbus Roman No9 L" w:eastAsia="方正仿宋简体" w:cs="Nimbus Roman No9 L"/>
          <w:b w:val="0"/>
          <w:bCs w:val="0"/>
          <w:color w:val="000000" w:themeColor="text1"/>
          <w:spacing w:val="-6"/>
          <w:kern w:val="2"/>
          <w:sz w:val="32"/>
          <w:szCs w:val="32"/>
          <w:lang w:val="en-US" w:eastAsia="zh-CN" w:bidi="ar-SA"/>
          <w14:textFill>
            <w14:solidFill>
              <w14:schemeClr w14:val="tx1"/>
            </w14:solidFill>
          </w14:textFill>
        </w:rPr>
        <w:t>体系，建立以信用为基础的新型监管机制。加快建立应急物流体系。</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4.2.2梅州市国民经济和社会发展第十四个五年规划和二〇三五年远景目标纲要</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四五”时期是我国开启全面建设社会主义现代化国家新征程的第一个五年。中国共产党梅州市第七届委员会第十次全体会议，深入贯彻党的十九届五中全会精神，深入贯彻习近平总书记对广东系列重要讲话和重要指示批示精神，按照省委十二届十二次全会的部署，就制定梅州市国民经济和社会发展第十四个五年规划和二〇三五年远景目标提出以下建议。</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建议中，2021—2035年梅州市要统筹推进基础设施建设。加快现代交通、通信、能源、水利、环保等基础设施建设，不断改善和夯实发展条件。围绕建设粤东北综合交通枢纽，加快高速铁路、高速公路建设和梅州机场迁建，推进国省道改造升级和快速交通干线建设，加快农村公路建设提档升级，推进高铁站等各类交通站场周边开发，构建市区到县城1小时、梅州到汕潮揭1小时、到珠三角2小时、到厦漳泉2小时的“1122”交通圈，形成安全、便捷、高效、绿色的综合交通运输体系。加快5G、工业互联网、大数据中心等新型基础设施建设，建设数字梅州，打造智慧梅州；加强水利基础设施建设，建成韩江高陂水利枢纽，推进“一廊两带五线”碧道建设，推动重要江河堤防达标建设。</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4.2.3广东省综合立体交通网规划纲要</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2021年10月，中共广东省委、广东省人民政府印发的《广东省综合立体交通网规划纲要》指出，规划期为2021年至2035年，远景展望到本世纪中叶。到2035年，全面建成发达的快速骨干网、完善的普通干线网、广泛的通达基础网，综合运输通道和枢纽体系更加高效可靠，运输服务更加优质便捷，统筹融合和高质量发展跃上新水平，“12312”出行交通圈（珠三角地区内部主要城市间1小时通达、珠三角地区与粤东粤西粤北地区2小时通达，与国内及东南亚主要城市3小时通达，与全球主要城市12小时左右通达）和“123”快货物流圈（国内1天送达，东南亚主要城市2天送达，全球主要城市3天送达）全面实现，交通强省基本建成。交通基础设施网络、综合运输服务水平、交通体系高质量发展等方面位居全国前列，粤港澳大湾区综合交通发展水平进入全球先进行列。</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展望2050年，新技术、新业态加快发展，综合立体交通网向更高质量、更高效率、更高品质迈进，粤港澳大湾区综合交通发展水平全球领先，交通强省全面建成。</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4.2.4广东省高速、国省干线规划</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2020年5月，广东省交通运输厅印发的《广东省高速公路网规划（2020—2035年）》制定了2020—2035年广东省高速公路网规划布局，具体如下：</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2020—2035年，广东省高速公路将以“十二纵八横两环十六射”为主骨架，七十条加密线和联络线为补充，形成以珠江三角洲为核心，沿海城市、港口、机场和铁路枢纽为重点，支撑粤港澳大湾区深度合作发展、引领东西两翼及沿海经济带发展、快捷通达周边省区的高速公路网络。到规划期末（2035年），全省高速公路总里程达到约15000公里。其中，涉及平远境内有：</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十二条纵线（3327公里）中第三纵：梅州平远至汕尾红海湾，长约254公里。</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70条加密联络线（3526公里）中第1联：平远至福建武平（粤闽界），长约24公里。</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18条远景展望线（1200公里）。规划预留了深圳大鹏至深汕合作区、平远经蕉岭至大埔、梅县至福建永定等远景展望线。</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4.2.5广东省综合交通运输体系“十四五”发展规划</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到2025年，综合立体交通网布局基本形成，客货运输服务品质显著提升，交通运输综合治理能力进一步增强，总体建成贯通全省、畅通国内、连接世界的现代综合交通运输体系，交通运输高质量发展继续走在全国前列。</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网络更加通畅开放。路网规模质量全国领先，部分领域达到世界先进水平，实现高标准铁路“市市通”、高速公路“县县通”、三级以上公路“镇镇通”，基本实现双车道公路“村村通”。世界级机场群和世界一流港口加快形成，国际航空航运枢纽影响力显著增强，国际运输网络连通度进一步提高。</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服务更加便捷优质。基本实现“12312”出行交通圈和“123”快货物流圈。客货运输全链条服务水平显著提高，枢纽机场全部实现轨道交通或高速公路引入，沿海主要港口重要港区基本实现铁路进港，旅客联程联运和货物多式联运加快发展。区域城乡交通基本公共服务均等化水平进一步提升。</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运行更加智能高效。新一代智慧交通网络建设全国领先。5G网络基本覆盖高速公路干线及主要服务区、高铁站和机场，重要通道、重要枢纽场站和重点运载装备实现数字化监测全覆盖。电子客票、交通一卡通等数字化产品广泛应用，无人驾驶、车路协同等新型智能交通技术率先取得突破。</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发展更加绿色安全。综合运输通道资源利用的集约化、综合化水平大幅提高。运输结构日益合理，运输能耗水平和二氧化碳排放强度明显下降。交通运输安全与风险管控体系更加完善，交通网络韧性和应对各类重大风险能力显著提升，重特大事故发生率持续降低，重要物资运输高效可靠。</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到2035年，率先全面建成现代综合交通运输体系，一流设施、一流技术、一流管理、一流服务总体形成，交通运输国际竞争力及影响力显著提升，人民群众满意程度明显提高，有力支撑广东基本实现社会主义现代化。</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pPr>
      <w:bookmarkStart w:id="21" w:name="_Toc9790"/>
      <w:r>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t>4.3平远层面</w:t>
      </w:r>
      <w:bookmarkEnd w:id="21"/>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4.3.1平远县国民经济和社会发展第十四个五年规划和二〇三五年远景目标纲要</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锚定二〇三五年远景目标，立足平远，主动对接粤港澳大湾区和深圳先行示范区“双区”建设，坚持生态优先、绿色发展，深入推进“一城一区一带”建设，开创“精致小城·大美平远”新局面，争当生态发展区高质量发展示范县，努力实现以下主要目标。</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经济高质量发展迈上新台阶。经济高质量发展体制机制逐步成熟，供给体系质量和供需水平均衡提高，创新能力进一步增强，在质量效益明显提升的基础上实现经济平稳健康发展，争取发展速度高于全国、全省平均水平，缩小人均主要经济指标与全国、全省的差距。地区生产总值年均增长6%左右、力争达到104亿元，人均地区生产总值达到44299元。建成具有平远特色的现代产业体系，产业链现代化水平明显提高，经济结构不断优化，农业基础更加稳固，城乡区域发展协调性明显增强，现代化经济体系建设取得重大进展。</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改革开放迈出新步伐。社会主义市场经济体制更加完善，高标准市场体系基本建成，市场主体更加充满活力，产权制度改革和要素市场化配置改革取得重大进展，公平竞争制度更加健全，营商环境水平进入全省前列，更高水平开放型经济新体制基本形成，服务融入“双区”“双城”建设的体制机制更加完善，</w:t>
      </w:r>
      <w:r>
        <w:rPr>
          <w:rFonts w:hint="eastAsia" w:ascii="Nimbus Roman No9 L" w:hAnsi="Nimbus Roman No9 L" w:eastAsia="方正仿宋简体" w:cs="Nimbus Roman No9 L"/>
          <w:b w:val="0"/>
          <w:bCs w:val="0"/>
          <w:color w:val="000000" w:themeColor="text1"/>
          <w:spacing w:val="-6"/>
          <w:kern w:val="2"/>
          <w:sz w:val="32"/>
          <w:szCs w:val="32"/>
          <w:lang w:val="en-US" w:eastAsia="zh-CN" w:bidi="ar-SA"/>
          <w14:textFill>
            <w14:solidFill>
              <w14:schemeClr w14:val="tx1"/>
            </w14:solidFill>
          </w14:textFill>
        </w:rPr>
        <w:t>与“一带一路”共建国家及客属地区的经贸文化交流合作更加深入。</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城乡建设取得新成效。精准化扩大县城，精品化建设新城，精致化改造老城，精细化管理县城，县城空间结构和功能布局进一步优化，大力提升县城公共设施服务能力，促进公共服务设施提标扩面，环境卫生设施提级扩能，市政公用设施提档升级，产业培育设施提质增效，适应农民日益增长的到县城就业安家需求，扩大有效投资，释放消费潜力，拓展市场纵深，为坚定实施扩大内需战略和新型城镇化战略提供重要支撑。基础设施承载能力和城市运行保障能力显著提高，公路交通系统和城市客货运枢纽系统更加完善，市民出行更有保障、服务更加便捷高效，市容市貌持续改善。统筹城镇和乡村规划、建设和发展，全面提高农村生产生活生态建设水平，加快美丽乡村建设。</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民生福祉达到新水平。实现更加充分更高质量就业，居民收入增长和经济增长基本同步，分配结构明显改善，基本公共服务均等化水平明显提高，全民受教育程度不断提升，多层次社会保障体系更加健全，卫生健康体系更加完善，脱贫攻坚成果巩固拓展，乡村振兴战略全面推进，人民的获得感幸福感安全感和满意度不断提升。</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社会文明程度得到新提高。社会主义核心价值观深入人心，人民群众思想道德素质、科学文化素质和身心健康素质明显提高，公共文化服务体系和文化产业体系更加健全，人民群众精神文化生活日益丰富，优秀客家传统文化和红色革命文化影响力全面提升，文化软实力明显增强，文化自信更加坚定。</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生态文明建设实现新进步。国土空间开发保护格局得到优化，生态文明水平不断提升，生产生活方式绿色转型成效显著，能源资源配置更加合理、利用效率大幅提高，主要污染物排放总量持续减少，生态节点布局更加优化，生态修复治理体系逐步完善，人与自然和谐发展的现代化建设新格局初步形成。</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社会治理效能得到新提升。平安平远、法治平远达到更高水平，社会主义民主法治更加健全，社会公平正义进一步彰显，行政体系更加完善，行政效率和公信力显著提升，社会治理特别是基层治理水平明显提高，防范化解重大风险体制机制不断健全，突发公共事件应急能力显著增强，自然灾害防御水平明显提升，发展安全保障更加有力。</w:t>
      </w:r>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4.3.2平远县新时代支持革命老区振兴规划</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国务院关于新时代支持革命老区振兴发展的意见》（国发〔2021〕3号）提出，到2025年，革命老区脱贫攻坚成果全面巩固拓展，乡村振兴和新型城镇化建设取得明显进展，基础设施和基本公共服务进一步改善，居民收入增长幅度高于全国平均水平，对内对外开放合作水平显著提高，红色文化影响力明显增强，生态环境质量持续改善。到2035年，革命老区与全国同步基本实现社会主义现代化，现代化经济体系基本形成，居民收入水平显著提升，基本公共服务实现均等化，人民生活更加美好，形成红色文化繁荣、生态环境优美、基础设施完善、产业发展兴旺、居民生活幸福、社会和谐稳定的发展新局面。</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于2011年8月被确认为“原中央苏区县”，具有光荣的革命历史和优良传统，红色资源丰富，属于最早一批的革命老区之一，拥有仁居红军纪念园、毓秀书院、马克思路古驿道、盐铺潭段红色古驿道等众多红色遗址，结合国家有关革命老区振兴计划，2021—2035年应全面推进以下工作：</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一是完善基础设施网络，将县内公路、铁路、机场和能源、水利、应急等重大基础设施项目列入重点规划，具备条件后尽快启动建设，促进实现互联互通，大力促进县内高速公路规划建设，优化高速公路出入口布局，便捷连接重点城镇和重点红色文化纪念地，加快国省道干线改造，规划建设2个通用机场。</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二是全面推进“四好农村路”建设，开展数字乡村试点，加快乡村绿化美化。加大以工代赈对革命老区的支持力度，合理确定建设领域、赈济方式。统筹城乡规划，以交通、能源、水利、信息网络等为重点，加快推进革命老区美丽生态宜居乡村建设。提高农房设计和建造水平，改善群众住房条件和居住环境。因地制宜发展规</w:t>
      </w:r>
      <w:r>
        <w:rPr>
          <w:rFonts w:hint="eastAsia" w:ascii="Nimbus Roman No9 L" w:hAnsi="Nimbus Roman No9 L" w:eastAsia="方正仿宋简体" w:cs="Nimbus Roman No9 L"/>
          <w:b w:val="0"/>
          <w:bCs w:val="0"/>
          <w:color w:val="000000" w:themeColor="text1"/>
          <w:spacing w:val="-6"/>
          <w:kern w:val="2"/>
          <w:sz w:val="32"/>
          <w:szCs w:val="32"/>
          <w:lang w:val="en-US" w:eastAsia="zh-CN" w:bidi="ar-SA"/>
          <w14:textFill>
            <w14:solidFill>
              <w14:schemeClr w14:val="tx1"/>
            </w14:solidFill>
          </w14:textFill>
        </w:rPr>
        <w:t>模化供水、建设小型标准化供水设施，大力实施乡村电气化提升工程。</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三是结合乡村振兴和全域旅游发展，争取红色资源保护利用专项经费支持，以“一园（红军纪念园）一路（南粤古驿道“寻乌调查”红色之旅线路）两村（仁居村、黄沙村）”为重点，以点带面推动全县红色资源的保护开发，依托“一园一路两村”等红色资源，积极开展丰富多彩的“铭记光辉历史，传承红色基因”的红色主题教育。</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四是支持县城建设和县域经济发展，促进环境卫生设施、市政公用设施、公共服务设施、产业配套设施提质增效，支持县内建设一批产业转型升级示范园区，增强内生发展动力和服务农业农村能力。健全城乡融合发展体制机制，推进经济发达镇行政管理体制改革。推动信息网络等新型基础设施建设，加快打造智慧县城，提升县内管理和社会治理的数字化、智能化、精准化水平。</w:t>
      </w:r>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4.3.3平远县旅游发展规划</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作为最早一批的革命老区，平远县有着众多红色资源。“十四五”期间，平远县应依托县内红色遗址，大力开发全县红色旅游，打造红色旅游经典路线，推进红色遗址的修复建设，吸引外来游客。结合县内发展规划，在2021—2035年期间，平远县内旅游规划将重点放在以下两个项目。</w:t>
      </w:r>
    </w:p>
    <w:p>
      <w:pPr>
        <w:pageBreakBefore w:val="0"/>
        <w:widowControl w:val="0"/>
        <w:numPr>
          <w:ilvl w:val="0"/>
          <w:numId w:val="1"/>
        </w:numPr>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仁居红四军主题度假小镇</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项目位置：平远县仁居镇。</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重点事迹及人物：朱德等在1929—1930年间率领红四军三次进入平远开展革命斗争。仁居镇为红四军三进东江的重要据点。周边旅游资源如表4-1所示。</w:t>
      </w:r>
    </w:p>
    <w:p>
      <w:pPr>
        <w:pStyle w:val="27"/>
        <w:pageBreakBefore w:val="0"/>
        <w:widowControl w:val="0"/>
        <w:kinsoku/>
        <w:wordWrap/>
        <w:overflowPunct/>
        <w:topLinePunct w:val="0"/>
        <w:autoSpaceDE/>
        <w:autoSpaceDN/>
        <w:bidi w:val="0"/>
        <w:adjustRightInd/>
        <w:snapToGrid/>
        <w:spacing w:before="0" w:beforeLines="0" w:line="560" w:lineRule="exact"/>
        <w:textAlignment w:val="auto"/>
        <w:rPr>
          <w:rFonts w:hint="default" w:ascii="Nimbus Roman No9 L" w:hAnsi="Nimbus Roman No9 L" w:eastAsia="方正黑体_GBK" w:cs="Nimbus Roman No9 L"/>
          <w:b w:val="0"/>
          <w:bCs w:val="0"/>
          <w:color w:val="000000" w:themeColor="text1"/>
          <w:kern w:val="2"/>
          <w:sz w:val="32"/>
          <w:szCs w:val="32"/>
          <w:lang w:val="en-US" w:eastAsia="zh-CN" w:bidi="ar-SA"/>
          <w14:textFill>
            <w14:solidFill>
              <w14:schemeClr w14:val="tx1"/>
            </w14:solidFill>
          </w14:textFill>
        </w:rPr>
      </w:pPr>
      <w:r>
        <w:rPr>
          <w:rFonts w:hint="default" w:ascii="Nimbus Roman No9 L" w:hAnsi="Nimbus Roman No9 L" w:eastAsia="方正黑体_GBK" w:cs="Nimbus Roman No9 L"/>
          <w:b w:val="0"/>
          <w:bCs w:val="0"/>
          <w:color w:val="000000" w:themeColor="text1"/>
          <w:kern w:val="2"/>
          <w:sz w:val="32"/>
          <w:szCs w:val="32"/>
          <w:lang w:val="en-US" w:eastAsia="zh-CN" w:bidi="ar-SA"/>
          <w14:textFill>
            <w14:solidFill>
              <w14:schemeClr w14:val="tx1"/>
            </w14:solidFill>
          </w14:textFill>
        </w:rPr>
        <w:t>表4-1  平远县仁居红四军主题度假小镇周边旅游资源</w:t>
      </w:r>
    </w:p>
    <w:tbl>
      <w:tblPr>
        <w:tblStyle w:val="22"/>
        <w:tblW w:w="9297" w:type="dxa"/>
        <w:jc w:val="center"/>
        <w:tblInd w:w="0" w:type="dxa"/>
        <w:tblLayout w:type="fixed"/>
        <w:tblCellMar>
          <w:top w:w="0" w:type="dxa"/>
          <w:left w:w="108" w:type="dxa"/>
          <w:bottom w:w="0" w:type="dxa"/>
          <w:right w:w="108" w:type="dxa"/>
        </w:tblCellMar>
      </w:tblPr>
      <w:tblGrid>
        <w:gridCol w:w="1984"/>
        <w:gridCol w:w="7313"/>
      </w:tblGrid>
      <w:tr>
        <w:tblPrEx>
          <w:tblLayout w:type="fixed"/>
          <w:tblCellMar>
            <w:top w:w="0" w:type="dxa"/>
            <w:left w:w="108" w:type="dxa"/>
            <w:bottom w:w="0" w:type="dxa"/>
            <w:right w:w="108" w:type="dxa"/>
          </w:tblCellMar>
        </w:tblPrEx>
        <w:trPr>
          <w:trHeight w:val="567" w:hRule="atLeast"/>
          <w:jc w:val="center"/>
        </w:trPr>
        <w:tc>
          <w:tcPr>
            <w:tcW w:w="1984"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vAlign w:val="center"/>
          </w:tcPr>
          <w:p>
            <w:pPr>
              <w:widowControl/>
              <w:ind w:firstLine="0" w:firstLineChars="0"/>
              <w:jc w:val="center"/>
              <w:textAlignment w:val="center"/>
              <w:rPr>
                <w:rFonts w:ascii="楷体" w:hAnsi="楷体" w:eastAsia="楷体" w:cs="楷体"/>
                <w:color w:val="auto"/>
                <w:sz w:val="24"/>
                <w:szCs w:val="24"/>
              </w:rPr>
            </w:pPr>
            <w:r>
              <w:rPr>
                <w:rFonts w:hint="eastAsia" w:ascii="楷体" w:hAnsi="楷体" w:eastAsia="楷体" w:cs="楷体"/>
                <w:color w:val="auto"/>
                <w:kern w:val="0"/>
                <w:sz w:val="24"/>
                <w:szCs w:val="24"/>
                <w:lang w:bidi="ar"/>
              </w:rPr>
              <w:t>资源名称</w:t>
            </w:r>
          </w:p>
        </w:tc>
        <w:tc>
          <w:tcPr>
            <w:tcW w:w="731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vAlign w:val="center"/>
          </w:tcPr>
          <w:p>
            <w:pPr>
              <w:widowControl/>
              <w:ind w:firstLine="480"/>
              <w:jc w:val="center"/>
              <w:textAlignment w:val="center"/>
              <w:rPr>
                <w:rFonts w:ascii="楷体" w:hAnsi="楷体" w:eastAsia="楷体" w:cs="楷体"/>
                <w:color w:val="auto"/>
                <w:sz w:val="24"/>
                <w:szCs w:val="24"/>
              </w:rPr>
            </w:pPr>
            <w:r>
              <w:rPr>
                <w:rFonts w:hint="eastAsia" w:ascii="楷体" w:hAnsi="楷体" w:eastAsia="楷体" w:cs="楷体"/>
                <w:color w:val="auto"/>
                <w:kern w:val="0"/>
                <w:sz w:val="24"/>
                <w:szCs w:val="24"/>
                <w:lang w:bidi="ar"/>
              </w:rPr>
              <w:t>简介</w:t>
            </w:r>
          </w:p>
        </w:tc>
      </w:tr>
      <w:tr>
        <w:tblPrEx>
          <w:tblLayout w:type="fixed"/>
          <w:tblCellMar>
            <w:top w:w="0" w:type="dxa"/>
            <w:left w:w="108" w:type="dxa"/>
            <w:bottom w:w="0" w:type="dxa"/>
            <w:right w:w="108" w:type="dxa"/>
          </w:tblCellMar>
        </w:tblPrEx>
        <w:trPr>
          <w:trHeight w:val="567" w:hRule="atLeast"/>
          <w:jc w:val="center"/>
        </w:trPr>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kern w:val="0"/>
                <w:sz w:val="24"/>
                <w:szCs w:val="24"/>
                <w:lang w:bidi="ar"/>
              </w:rPr>
              <w:t>仁居古镇</w:t>
            </w:r>
          </w:p>
        </w:tc>
        <w:tc>
          <w:tcPr>
            <w:tcW w:w="7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480"/>
              <w:jc w:val="both"/>
              <w:textAlignment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kern w:val="0"/>
                <w:sz w:val="24"/>
                <w:szCs w:val="24"/>
                <w:lang w:bidi="ar"/>
              </w:rPr>
              <w:t>仁居镇是红四军三进东江的重要据点，现有平远红军纪念园</w:t>
            </w:r>
            <w:r>
              <w:rPr>
                <w:rFonts w:hint="eastAsia" w:ascii="Nimbus Roman No9 L" w:hAnsi="Nimbus Roman No9 L" w:eastAsia="方正仿宋_GBK" w:cs="Nimbus Roman No9 L"/>
                <w:color w:val="auto"/>
                <w:kern w:val="0"/>
                <w:sz w:val="24"/>
                <w:szCs w:val="24"/>
                <w:lang w:eastAsia="zh-CN" w:bidi="ar"/>
              </w:rPr>
              <w:t>和</w:t>
            </w:r>
            <w:r>
              <w:rPr>
                <w:rFonts w:hint="default" w:ascii="Nimbus Roman No9 L" w:hAnsi="Nimbus Roman No9 L" w:eastAsia="方正仿宋_GBK" w:cs="Nimbus Roman No9 L"/>
                <w:color w:val="auto"/>
                <w:kern w:val="0"/>
                <w:sz w:val="24"/>
                <w:szCs w:val="24"/>
                <w:lang w:bidi="ar"/>
              </w:rPr>
              <w:t>红四军开展革命斗争留下</w:t>
            </w:r>
            <w:r>
              <w:rPr>
                <w:rFonts w:hint="eastAsia" w:ascii="Nimbus Roman No9 L" w:hAnsi="Nimbus Roman No9 L" w:eastAsia="方正仿宋_GBK" w:cs="Nimbus Roman No9 L"/>
                <w:color w:val="auto"/>
                <w:kern w:val="0"/>
                <w:sz w:val="24"/>
                <w:szCs w:val="24"/>
                <w:lang w:eastAsia="zh-CN" w:bidi="ar"/>
              </w:rPr>
              <w:t>的</w:t>
            </w:r>
            <w:r>
              <w:rPr>
                <w:rFonts w:hint="default" w:ascii="Nimbus Roman No9 L" w:hAnsi="Nimbus Roman No9 L" w:eastAsia="方正仿宋_GBK" w:cs="Nimbus Roman No9 L"/>
                <w:color w:val="auto"/>
                <w:kern w:val="0"/>
                <w:sz w:val="24"/>
                <w:szCs w:val="24"/>
                <w:lang w:bidi="ar"/>
              </w:rPr>
              <w:t>司令部、政治部、后勤部等众多活动旧址</w:t>
            </w:r>
            <w:r>
              <w:rPr>
                <w:rFonts w:hint="eastAsia" w:ascii="Nimbus Roman No9 L" w:hAnsi="Nimbus Roman No9 L" w:eastAsia="方正仿宋_GBK" w:cs="Nimbus Roman No9 L"/>
                <w:color w:val="auto"/>
                <w:kern w:val="0"/>
                <w:sz w:val="24"/>
                <w:szCs w:val="24"/>
                <w:lang w:eastAsia="zh-CN" w:bidi="ar"/>
              </w:rPr>
              <w:t>以</w:t>
            </w:r>
            <w:r>
              <w:rPr>
                <w:rFonts w:hint="eastAsia" w:ascii="Nimbus Roman No9 L" w:hAnsi="Nimbus Roman No9 L" w:eastAsia="方正仿宋_GBK" w:cs="Nimbus Roman No9 L"/>
                <w:color w:val="auto"/>
                <w:spacing w:val="-6"/>
                <w:kern w:val="0"/>
                <w:sz w:val="24"/>
                <w:szCs w:val="24"/>
                <w:lang w:eastAsia="zh-CN" w:bidi="ar"/>
              </w:rPr>
              <w:t>及</w:t>
            </w:r>
            <w:r>
              <w:rPr>
                <w:rFonts w:hint="default" w:ascii="Nimbus Roman No9 L" w:hAnsi="Nimbus Roman No9 L" w:eastAsia="方正仿宋_GBK" w:cs="Nimbus Roman No9 L"/>
                <w:color w:val="auto"/>
                <w:spacing w:val="-6"/>
                <w:kern w:val="0"/>
                <w:sz w:val="24"/>
                <w:szCs w:val="24"/>
                <w:lang w:bidi="ar"/>
              </w:rPr>
              <w:t>标语群（全省最多最集中）。仁居村已被省委组织部认定为</w:t>
            </w:r>
            <w:r>
              <w:rPr>
                <w:rFonts w:hint="eastAsia" w:ascii="方正仿宋_GBK" w:hAnsi="方正仿宋_GBK" w:eastAsia="方正仿宋_GBK" w:cs="方正仿宋_GBK"/>
                <w:color w:val="auto"/>
                <w:spacing w:val="-6"/>
                <w:kern w:val="0"/>
                <w:sz w:val="24"/>
                <w:szCs w:val="24"/>
                <w:lang w:bidi="ar"/>
              </w:rPr>
              <w:t>“红色村”</w:t>
            </w:r>
            <w:r>
              <w:rPr>
                <w:rFonts w:hint="default" w:ascii="Nimbus Roman No9 L" w:hAnsi="Nimbus Roman No9 L" w:eastAsia="方正仿宋_GBK" w:cs="Nimbus Roman No9 L"/>
                <w:color w:val="auto"/>
                <w:spacing w:val="-6"/>
                <w:kern w:val="0"/>
                <w:sz w:val="24"/>
                <w:szCs w:val="24"/>
                <w:lang w:bidi="ar"/>
              </w:rPr>
              <w:t>。</w:t>
            </w:r>
          </w:p>
        </w:tc>
      </w:tr>
      <w:tr>
        <w:tblPrEx>
          <w:tblLayout w:type="fixed"/>
          <w:tblCellMar>
            <w:top w:w="0" w:type="dxa"/>
            <w:left w:w="108" w:type="dxa"/>
            <w:bottom w:w="0" w:type="dxa"/>
            <w:right w:w="108" w:type="dxa"/>
          </w:tblCellMar>
        </w:tblPrEx>
        <w:trPr>
          <w:trHeight w:val="567" w:hRule="atLeast"/>
          <w:jc w:val="center"/>
        </w:trPr>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kern w:val="0"/>
                <w:sz w:val="24"/>
                <w:szCs w:val="24"/>
                <w:lang w:bidi="ar"/>
              </w:rPr>
              <w:t>红军纪念园</w:t>
            </w:r>
          </w:p>
        </w:tc>
        <w:tc>
          <w:tcPr>
            <w:tcW w:w="7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480"/>
              <w:jc w:val="both"/>
              <w:textAlignment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kern w:val="0"/>
                <w:sz w:val="24"/>
                <w:szCs w:val="24"/>
                <w:lang w:bidi="ar"/>
              </w:rPr>
              <w:t>广东</w:t>
            </w:r>
            <w:r>
              <w:rPr>
                <w:rFonts w:hint="eastAsia" w:ascii="Nimbus Roman No9 L" w:hAnsi="Nimbus Roman No9 L" w:eastAsia="方正仿宋_GBK" w:cs="Nimbus Roman No9 L"/>
                <w:color w:val="auto"/>
                <w:kern w:val="0"/>
                <w:sz w:val="24"/>
                <w:szCs w:val="24"/>
                <w:lang w:eastAsia="zh-CN" w:bidi="ar"/>
              </w:rPr>
              <w:t>省</w:t>
            </w:r>
            <w:r>
              <w:rPr>
                <w:rFonts w:hint="default" w:ascii="Nimbus Roman No9 L" w:hAnsi="Nimbus Roman No9 L" w:eastAsia="方正仿宋_GBK" w:cs="Nimbus Roman No9 L"/>
                <w:color w:val="auto"/>
                <w:kern w:val="0"/>
                <w:sz w:val="24"/>
                <w:szCs w:val="24"/>
                <w:lang w:bidi="ar"/>
              </w:rPr>
              <w:t>第一个以纪念中国工农红军历史为主题的纪念公园，现为广东省中共党史</w:t>
            </w:r>
            <w:r>
              <w:rPr>
                <w:rFonts w:hint="eastAsia" w:ascii="Nimbus Roman No9 L" w:hAnsi="Nimbus Roman No9 L" w:eastAsia="方正仿宋_GBK" w:cs="Nimbus Roman No9 L"/>
                <w:color w:val="auto"/>
                <w:kern w:val="0"/>
                <w:sz w:val="24"/>
                <w:szCs w:val="24"/>
                <w:lang w:val="en-US" w:eastAsia="zh-CN" w:bidi="ar"/>
              </w:rPr>
              <w:t>学习</w:t>
            </w:r>
            <w:r>
              <w:rPr>
                <w:rFonts w:hint="default" w:ascii="Nimbus Roman No9 L" w:hAnsi="Nimbus Roman No9 L" w:eastAsia="方正仿宋_GBK" w:cs="Nimbus Roman No9 L"/>
                <w:color w:val="auto"/>
                <w:kern w:val="0"/>
                <w:sz w:val="24"/>
                <w:szCs w:val="24"/>
                <w:lang w:bidi="ar"/>
              </w:rPr>
              <w:t>教育基地、广东省爱国主义教育基地、广东省红色旅游示范基地。包括平远县红四军纪念馆和中共平远县委旧址、仁居老东门街谢屋红军标语、仁居农会旧址、红四军仁居驻地旧址群（仁居红四军第一纵队司令部、后勤处与军需处旧址）等资源点。</w:t>
            </w:r>
          </w:p>
        </w:tc>
      </w:tr>
      <w:tr>
        <w:tblPrEx>
          <w:tblLayout w:type="fixed"/>
          <w:tblCellMar>
            <w:top w:w="0" w:type="dxa"/>
            <w:left w:w="108" w:type="dxa"/>
            <w:bottom w:w="0" w:type="dxa"/>
            <w:right w:w="108" w:type="dxa"/>
          </w:tblCellMar>
        </w:tblPrEx>
        <w:trPr>
          <w:trHeight w:val="567" w:hRule="atLeast"/>
          <w:jc w:val="center"/>
        </w:trPr>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kern w:val="0"/>
                <w:sz w:val="24"/>
                <w:szCs w:val="24"/>
                <w:lang w:bidi="ar"/>
              </w:rPr>
              <w:t>五指石景区</w:t>
            </w:r>
          </w:p>
        </w:tc>
        <w:tc>
          <w:tcPr>
            <w:tcW w:w="7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480"/>
              <w:jc w:val="both"/>
              <w:textAlignment w:val="center"/>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kern w:val="0"/>
                <w:sz w:val="24"/>
                <w:szCs w:val="24"/>
                <w:lang w:bidi="ar"/>
              </w:rPr>
              <w:t>国家AAAA级旅游景区、省级风景名胜区、广东省地质公园，</w:t>
            </w:r>
            <w:r>
              <w:rPr>
                <w:rFonts w:hint="default" w:ascii="Nimbus Roman No9 L" w:hAnsi="Nimbus Roman No9 L" w:eastAsia="方正仿宋_GBK" w:cs="Nimbus Roman No9 L"/>
                <w:color w:val="auto"/>
                <w:spacing w:val="-6"/>
                <w:kern w:val="0"/>
                <w:sz w:val="24"/>
                <w:szCs w:val="24"/>
                <w:lang w:bidi="ar"/>
              </w:rPr>
              <w:t>粤东著名的丹霞地貌旅游胜地，现为平远最具市场影响力的旅游品牌</w:t>
            </w:r>
            <w:r>
              <w:rPr>
                <w:rFonts w:hint="eastAsia" w:ascii="Nimbus Roman No9 L" w:hAnsi="Nimbus Roman No9 L" w:eastAsia="方正仿宋_GBK" w:cs="Nimbus Roman No9 L"/>
                <w:color w:val="auto"/>
                <w:spacing w:val="-6"/>
                <w:kern w:val="0"/>
                <w:sz w:val="24"/>
                <w:szCs w:val="24"/>
                <w:lang w:eastAsia="zh-CN" w:bidi="ar"/>
              </w:rPr>
              <w:t>。</w:t>
            </w:r>
          </w:p>
        </w:tc>
      </w:tr>
      <w:tr>
        <w:tblPrEx>
          <w:tblLayout w:type="fixed"/>
          <w:tblCellMar>
            <w:top w:w="0" w:type="dxa"/>
            <w:left w:w="108" w:type="dxa"/>
            <w:bottom w:w="0" w:type="dxa"/>
            <w:right w:w="108" w:type="dxa"/>
          </w:tblCellMar>
        </w:tblPrEx>
        <w:trPr>
          <w:trHeight w:val="567" w:hRule="atLeast"/>
          <w:jc w:val="center"/>
        </w:trPr>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kern w:val="0"/>
                <w:sz w:val="24"/>
                <w:szCs w:val="24"/>
                <w:lang w:bidi="ar"/>
              </w:rPr>
              <w:t>松溪古道</w:t>
            </w:r>
          </w:p>
        </w:tc>
        <w:tc>
          <w:tcPr>
            <w:tcW w:w="7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480"/>
              <w:jc w:val="both"/>
              <w:textAlignment w:val="center"/>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kern w:val="0"/>
                <w:sz w:val="24"/>
                <w:szCs w:val="24"/>
                <w:lang w:bidi="ar"/>
              </w:rPr>
              <w:t>广东省文物保护单位，古</w:t>
            </w:r>
            <w:r>
              <w:rPr>
                <w:rFonts w:hint="eastAsia" w:ascii="方正仿宋_GBK" w:hAnsi="方正仿宋_GBK" w:eastAsia="方正仿宋_GBK" w:cs="方正仿宋_GBK"/>
                <w:color w:val="auto"/>
                <w:kern w:val="0"/>
                <w:sz w:val="24"/>
                <w:szCs w:val="24"/>
                <w:lang w:bidi="ar"/>
              </w:rPr>
              <w:t>代“粤盐赣米闽茶”的</w:t>
            </w:r>
            <w:r>
              <w:rPr>
                <w:rFonts w:hint="default" w:ascii="Nimbus Roman No9 L" w:hAnsi="Nimbus Roman No9 L" w:eastAsia="方正仿宋_GBK" w:cs="Nimbus Roman No9 L"/>
                <w:color w:val="auto"/>
                <w:kern w:val="0"/>
                <w:sz w:val="24"/>
                <w:szCs w:val="24"/>
                <w:lang w:bidi="ar"/>
              </w:rPr>
              <w:t>重要栈道，红四军入粤的通道</w:t>
            </w:r>
            <w:r>
              <w:rPr>
                <w:rFonts w:hint="eastAsia" w:ascii="Nimbus Roman No9 L" w:hAnsi="Nimbus Roman No9 L" w:eastAsia="方正仿宋_GBK" w:cs="Nimbus Roman No9 L"/>
                <w:color w:val="auto"/>
                <w:kern w:val="0"/>
                <w:sz w:val="24"/>
                <w:szCs w:val="24"/>
                <w:lang w:eastAsia="zh-CN" w:bidi="ar"/>
              </w:rPr>
              <w:t>。</w:t>
            </w:r>
          </w:p>
        </w:tc>
      </w:tr>
      <w:tr>
        <w:tblPrEx>
          <w:tblLayout w:type="fixed"/>
          <w:tblCellMar>
            <w:top w:w="0" w:type="dxa"/>
            <w:left w:w="108" w:type="dxa"/>
            <w:bottom w:w="0" w:type="dxa"/>
            <w:right w:w="108" w:type="dxa"/>
          </w:tblCellMar>
        </w:tblPrEx>
        <w:trPr>
          <w:trHeight w:val="567" w:hRule="atLeast"/>
          <w:jc w:val="center"/>
        </w:trPr>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kern w:val="0"/>
                <w:sz w:val="24"/>
                <w:szCs w:val="24"/>
                <w:lang w:bidi="ar"/>
              </w:rPr>
              <w:t>松溪河景区</w:t>
            </w:r>
          </w:p>
        </w:tc>
        <w:tc>
          <w:tcPr>
            <w:tcW w:w="7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480"/>
              <w:jc w:val="both"/>
              <w:textAlignment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kern w:val="0"/>
                <w:sz w:val="24"/>
                <w:szCs w:val="24"/>
                <w:lang w:bidi="ar"/>
              </w:rPr>
              <w:t>松溪河风景名胜区位于梅州市平远县差干镇加丰村境内，是国家AAA级旅游景区，省级风景名胜区</w:t>
            </w:r>
          </w:p>
        </w:tc>
      </w:tr>
    </w:tbl>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项目意义：本项目为省红色旅游示范基地、省爱国主义教育基地、省党史学习</w:t>
      </w:r>
      <w:bookmarkStart w:id="85" w:name="_GoBack"/>
      <w:bookmarkEnd w:id="85"/>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教育基地，仁居村已被省委组织部认定为“红色村”，为粤闽赣边区红色革命历史的重要承载区域。此外，项目距国家4A级旅游景区五指石风景区仅16公里，可依托小镇空间，提升平远游客过夜吸引力，提高平远旅游产业效益。</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（2）八尺南粤红色古驿道历史风情区</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项目位置：平远县八尺镇。</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重点事迹及人物：八尺事件、古盐米交通线。</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项目意义：平远八尺古驿道为梅州南粤古驿道重点段，为2018广东省六大开放古驿道之一。此外，沿线分布有特色乡村群，可结合古驿道开发，带动沿线乡村发展。</w:t>
      </w:r>
    </w:p>
    <w:p>
      <w:pPr>
        <w:pStyle w:val="4"/>
        <w:pageBreakBefore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pPr>
      <w:bookmarkStart w:id="22" w:name="_Toc72"/>
      <w:r>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t>4.4总结</w:t>
      </w:r>
      <w:bookmarkEnd w:id="22"/>
    </w:p>
    <w:p>
      <w:pPr>
        <w:pageBreakBefore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四五”时期是我国全面建成小康社会、实现第一个百年奋斗目标之后，乘势而上开启全面建设社会主义现代化国家新征程、向第二个百年奋斗目标进军的第一个五年，在这个五年内，国家要加快建设成为世界交通强国，建设现代化综合交通运输体系、完善综合运输大通道、提升国家高速公路网络质量、优化铁路客货布局，推进普通国省道瓶颈路段贯通升级。</w:t>
      </w:r>
    </w:p>
    <w:p>
      <w:pPr>
        <w:pageBreakBefore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平远县作为连接粤东北地区和闽南地区的重要枢纽，是最早一批革命老区之一，要切合国家发展战略，全面推进县内高速公路、铁路、国省道干线、农村公路建设。</w:t>
      </w:r>
    </w:p>
    <w:p>
      <w:pPr>
        <w:keepNext w:val="0"/>
        <w:keepLines w:val="0"/>
        <w:pageBreakBefore w:val="0"/>
        <w:widowControl w:val="0"/>
        <w:kinsoku/>
        <w:wordWrap/>
        <w:overflowPunct/>
        <w:topLinePunct w:val="0"/>
        <w:autoSpaceDE/>
        <w:autoSpaceDN/>
        <w:bidi w:val="0"/>
        <w:adjustRightInd/>
        <w:snapToGrid/>
        <w:spacing w:line="560" w:lineRule="exact"/>
        <w:ind w:firstLine="600"/>
        <w:jc w:val="both"/>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从战略意义上来说，平远县综合交通运输体系“十四五”规划是平远县对国家和省、市相关规划战略指导的响应，更是实现平远人民幸福生活目标和完成伟大事业征程的重要环节和关键任务，还将深深影响未来5—10年内平远县的经济发展方向。</w:t>
      </w:r>
    </w:p>
    <w:p>
      <w:pPr>
        <w:pStyle w:val="3"/>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b w:val="0"/>
          <w:bCs/>
          <w:color w:val="auto"/>
        </w:rPr>
      </w:pPr>
      <w:bookmarkStart w:id="23" w:name="_Toc19672"/>
      <w:r>
        <w:rPr>
          <w:rFonts w:hint="eastAsia" w:ascii="方正黑体_GBK" w:hAnsi="方正黑体_GBK" w:eastAsia="方正黑体_GBK" w:cs="方正黑体_GBK"/>
          <w:b w:val="0"/>
          <w:bCs/>
          <w:color w:val="auto"/>
        </w:rPr>
        <w:t>五、规划布局与指标</w:t>
      </w:r>
      <w:bookmarkEnd w:id="23"/>
    </w:p>
    <w:p>
      <w:pPr>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为有效改善平远区域交通条件，打通人流、物流快捷通道，缩短对接粤港澳大湾区、海西区和长三角的时空距离，实现江西赣州（抚州）、福建龙岩、广东梅州等原中央苏区县互联互通。到2025年，规划建设1个通用机场，建成1条铁路、3条高速的骨干综合交通运输体系，全面构建“十字互通，三纵一横”的快速综合交通运输体系、畅通完善“三纵三横一环”国省干线公路网，基本形成“布局合理、结构优化、功能完善、衔接顺畅、服务优质”的现代综合交通运输系统，全力打造与市区1小时通达、与海西区、赣南2小时通达、与粤港澳大湾区3小时通达的“123”交通网络。</w:t>
      </w:r>
    </w:p>
    <w:p>
      <w:pPr>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平远县“十四五”交通运输体系如表5-1、5-2、5-3所示。</w:t>
      </w:r>
    </w:p>
    <w:p>
      <w:pPr>
        <w:pStyle w:val="27"/>
        <w:keepNext w:val="0"/>
        <w:keepLines w:val="0"/>
        <w:pageBreakBefore w:val="0"/>
        <w:widowControl w:val="0"/>
        <w:kinsoku/>
        <w:wordWrap/>
        <w:overflowPunct/>
        <w:topLinePunct w:val="0"/>
        <w:autoSpaceDE/>
        <w:autoSpaceDN/>
        <w:bidi w:val="0"/>
        <w:adjustRightInd/>
        <w:snapToGrid/>
        <w:spacing w:before="0" w:beforeLines="0" w:line="660" w:lineRule="exact"/>
        <w:textAlignment w:val="auto"/>
        <w:rPr>
          <w:rFonts w:hint="default" w:ascii="Nimbus Roman No9 L" w:hAnsi="Nimbus Roman No9 L" w:eastAsia="方正黑体_GBK" w:cs="Nimbus Roman No9 L"/>
          <w:b w:val="0"/>
          <w:bCs/>
          <w:color w:val="auto"/>
          <w:kern w:val="2"/>
          <w:sz w:val="32"/>
          <w:szCs w:val="21"/>
          <w:lang w:val="en-US" w:eastAsia="zh-CN" w:bidi="ar-SA"/>
        </w:rPr>
      </w:pPr>
      <w:r>
        <w:rPr>
          <w:rFonts w:hint="default" w:ascii="Nimbus Roman No9 L" w:hAnsi="Nimbus Roman No9 L" w:eastAsia="方正黑体_GBK" w:cs="Nimbus Roman No9 L"/>
          <w:b w:val="0"/>
          <w:bCs/>
          <w:color w:val="auto"/>
          <w:kern w:val="2"/>
          <w:sz w:val="32"/>
          <w:szCs w:val="21"/>
          <w:lang w:val="en-US" w:eastAsia="zh-CN" w:bidi="ar-SA"/>
        </w:rPr>
        <w:t>表5-1  平远县综合交通运输体系</w:t>
      </w:r>
      <w:r>
        <w:rPr>
          <w:rFonts w:hint="eastAsia" w:ascii="Nimbus Roman No9 L" w:hAnsi="Nimbus Roman No9 L" w:eastAsia="方正黑体_GBK" w:cs="Nimbus Roman No9 L"/>
          <w:b w:val="0"/>
          <w:bCs/>
          <w:color w:val="auto"/>
          <w:kern w:val="2"/>
          <w:sz w:val="32"/>
          <w:szCs w:val="21"/>
          <w:lang w:val="en-US" w:eastAsia="zh-CN" w:bidi="ar-SA"/>
        </w:rPr>
        <w:t>“</w:t>
      </w:r>
      <w:r>
        <w:rPr>
          <w:rFonts w:hint="default" w:ascii="Nimbus Roman No9 L" w:hAnsi="Nimbus Roman No9 L" w:eastAsia="方正黑体_GBK" w:cs="Nimbus Roman No9 L"/>
          <w:b w:val="0"/>
          <w:bCs/>
          <w:color w:val="auto"/>
          <w:kern w:val="2"/>
          <w:sz w:val="32"/>
          <w:szCs w:val="21"/>
          <w:lang w:val="en-US" w:eastAsia="zh-CN" w:bidi="ar-SA"/>
        </w:rPr>
        <w:t>十四五</w:t>
      </w:r>
      <w:r>
        <w:rPr>
          <w:rFonts w:hint="eastAsia" w:ascii="Nimbus Roman No9 L" w:hAnsi="Nimbus Roman No9 L" w:eastAsia="方正黑体_GBK" w:cs="Nimbus Roman No9 L"/>
          <w:b w:val="0"/>
          <w:bCs/>
          <w:color w:val="auto"/>
          <w:kern w:val="2"/>
          <w:sz w:val="32"/>
          <w:szCs w:val="21"/>
          <w:lang w:val="en-US" w:eastAsia="zh-CN" w:bidi="ar-SA"/>
        </w:rPr>
        <w:t>”</w:t>
      </w:r>
      <w:r>
        <w:rPr>
          <w:rFonts w:hint="default" w:ascii="Nimbus Roman No9 L" w:hAnsi="Nimbus Roman No9 L" w:eastAsia="方正黑体_GBK" w:cs="Nimbus Roman No9 L"/>
          <w:b w:val="0"/>
          <w:bCs/>
          <w:color w:val="auto"/>
          <w:kern w:val="2"/>
          <w:sz w:val="32"/>
          <w:szCs w:val="21"/>
          <w:lang w:val="en-US" w:eastAsia="zh-CN" w:bidi="ar-SA"/>
        </w:rPr>
        <w:t>发展目标</w:t>
      </w:r>
    </w:p>
    <w:tbl>
      <w:tblPr>
        <w:tblStyle w:val="22"/>
        <w:tblW w:w="9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8"/>
        <w:gridCol w:w="1730"/>
        <w:gridCol w:w="2421"/>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998" w:type="dxa"/>
            <w:shd w:val="clear" w:color="auto" w:fill="DEEAF6" w:themeFill="accent1" w:themeFillTint="33"/>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cs="Nimbus Roman No9 L"/>
                <w:color w:val="auto"/>
              </w:rPr>
            </w:pPr>
            <w:r>
              <w:rPr>
                <w:rFonts w:hint="default" w:ascii="Nimbus Roman No9 L" w:hAnsi="Nimbus Roman No9 L" w:cs="Nimbus Roman No9 L"/>
                <w:color w:val="auto"/>
              </w:rPr>
              <w:t>指标</w:t>
            </w:r>
          </w:p>
        </w:tc>
        <w:tc>
          <w:tcPr>
            <w:tcW w:w="1730" w:type="dxa"/>
            <w:shd w:val="clear" w:color="auto" w:fill="DEEAF6" w:themeFill="accent1" w:themeFillTint="33"/>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cs="Nimbus Roman No9 L"/>
                <w:color w:val="auto"/>
              </w:rPr>
            </w:pPr>
            <w:r>
              <w:rPr>
                <w:rFonts w:hint="default" w:ascii="Nimbus Roman No9 L" w:hAnsi="Nimbus Roman No9 L" w:cs="Nimbus Roman No9 L"/>
                <w:color w:val="auto"/>
              </w:rPr>
              <w:t>单位</w:t>
            </w:r>
          </w:p>
        </w:tc>
        <w:tc>
          <w:tcPr>
            <w:tcW w:w="2421" w:type="dxa"/>
            <w:shd w:val="clear" w:color="auto" w:fill="DEEAF6" w:themeFill="accent1" w:themeFillTint="33"/>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cs="Nimbus Roman No9 L"/>
                <w:color w:val="auto"/>
              </w:rPr>
            </w:pPr>
            <w:r>
              <w:rPr>
                <w:rFonts w:hint="default" w:ascii="Nimbus Roman No9 L" w:hAnsi="Nimbus Roman No9 L" w:cs="Nimbus Roman No9 L"/>
                <w:color w:val="auto"/>
              </w:rPr>
              <w:t>2021年</w:t>
            </w:r>
          </w:p>
        </w:tc>
        <w:tc>
          <w:tcPr>
            <w:tcW w:w="2421" w:type="dxa"/>
            <w:shd w:val="clear" w:color="auto" w:fill="DEEAF6" w:themeFill="accent1" w:themeFillTint="33"/>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cs="Nimbus Roman No9 L"/>
                <w:color w:val="auto"/>
              </w:rPr>
            </w:pPr>
            <w:r>
              <w:rPr>
                <w:rFonts w:hint="default" w:ascii="Nimbus Roman No9 L" w:hAnsi="Nimbus Roman No9 L" w:cs="Nimbus Roman No9 L"/>
                <w:color w:val="auto"/>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998"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综合交通网络</w:t>
            </w:r>
          </w:p>
        </w:tc>
        <w:tc>
          <w:tcPr>
            <w:tcW w:w="1730" w:type="dxa"/>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公里</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lang w:val="en-US" w:eastAsia="zh-CN"/>
                <w14:textFill>
                  <w14:solidFill>
                    <w14:schemeClr w14:val="tx1"/>
                  </w14:solidFill>
                </w14:textFill>
              </w:rPr>
            </w:pPr>
            <w:r>
              <w:rPr>
                <w:rFonts w:hint="eastAsia" w:ascii="Nimbus Roman No9 L" w:hAnsi="Nimbus Roman No9 L" w:eastAsia="方正仿宋_GBK" w:cs="Nimbus Roman No9 L"/>
                <w:color w:val="000000" w:themeColor="text1"/>
                <w:lang w:val="en-US" w:eastAsia="zh-CN"/>
                <w14:textFill>
                  <w14:solidFill>
                    <w14:schemeClr w14:val="tx1"/>
                  </w14:solidFill>
                </w14:textFill>
              </w:rPr>
              <w:t>2107.2</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lang w:val="en-US"/>
                <w14:textFill>
                  <w14:solidFill>
                    <w14:schemeClr w14:val="tx1"/>
                  </w14:solidFill>
                </w14:textFill>
              </w:rPr>
            </w:pPr>
            <w:r>
              <w:rPr>
                <w:rFonts w:hint="eastAsia" w:ascii="Nimbus Roman No9 L" w:hAnsi="Nimbus Roman No9 L" w:eastAsia="方正仿宋_GBK" w:cs="Nimbus Roman No9 L"/>
                <w:color w:val="000000" w:themeColor="text1"/>
                <w:lang w:val="en-US" w:eastAsia="zh-CN"/>
                <w14:textFill>
                  <w14:solidFill>
                    <w14:schemeClr w14:val="tx1"/>
                  </w14:solidFill>
                </w14:textFill>
              </w:rPr>
              <w:t>2217.62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998"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1.铁路营运里程</w:t>
            </w:r>
          </w:p>
        </w:tc>
        <w:tc>
          <w:tcPr>
            <w:tcW w:w="1730" w:type="dxa"/>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公里</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lang w:val="en-US" w:eastAsia="zh-CN"/>
                <w14:textFill>
                  <w14:solidFill>
                    <w14:schemeClr w14:val="tx1"/>
                  </w14:solidFill>
                </w14:textFill>
              </w:rPr>
            </w:pPr>
            <w:r>
              <w:rPr>
                <w:rFonts w:hint="eastAsia" w:ascii="Nimbus Roman No9 L" w:hAnsi="Nimbus Roman No9 L" w:eastAsia="方正仿宋_GBK" w:cs="Nimbus Roman No9 L"/>
                <w:color w:val="000000" w:themeColor="text1"/>
                <w:lang w:val="en-US" w:eastAsia="zh-CN"/>
                <w14:textFill>
                  <w14:solidFill>
                    <w14:schemeClr w14:val="tx1"/>
                  </w14:solidFill>
                </w14:textFill>
              </w:rPr>
              <w:t>48.22（在建）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998"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普通铁路</w:t>
            </w:r>
          </w:p>
        </w:tc>
        <w:tc>
          <w:tcPr>
            <w:tcW w:w="1730" w:type="dxa"/>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公里</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val="en-US" w:eastAsia="zh-CN"/>
                <w14:textFill>
                  <w14:solidFill>
                    <w14:schemeClr w14:val="tx1"/>
                  </w14:solidFill>
                </w14:textFill>
              </w:rPr>
              <w:t>48.22（在建）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998"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高快速铁路</w:t>
            </w:r>
          </w:p>
        </w:tc>
        <w:tc>
          <w:tcPr>
            <w:tcW w:w="1730" w:type="dxa"/>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公里</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998"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2.公路通车里程</w:t>
            </w:r>
          </w:p>
        </w:tc>
        <w:tc>
          <w:tcPr>
            <w:tcW w:w="1730" w:type="dxa"/>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公里</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lang w:val="en-US" w:eastAsia="zh-CN"/>
                <w14:textFill>
                  <w14:solidFill>
                    <w14:schemeClr w14:val="tx1"/>
                  </w14:solidFill>
                </w14:textFill>
              </w:rPr>
            </w:pPr>
            <w:r>
              <w:rPr>
                <w:rFonts w:hint="eastAsia" w:ascii="Nimbus Roman No9 L" w:hAnsi="Nimbus Roman No9 L" w:eastAsia="方正仿宋_GBK" w:cs="Nimbus Roman No9 L"/>
                <w:color w:val="000000" w:themeColor="text1"/>
                <w:lang w:val="en-US" w:eastAsia="zh-CN"/>
                <w14:textFill>
                  <w14:solidFill>
                    <w14:schemeClr w14:val="tx1"/>
                  </w14:solidFill>
                </w14:textFill>
              </w:rPr>
              <w:t>2107.2</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lang w:val="en-US" w:eastAsia="zh-CN"/>
                <w14:textFill>
                  <w14:solidFill>
                    <w14:schemeClr w14:val="tx1"/>
                  </w14:solidFill>
                </w14:textFill>
              </w:rPr>
            </w:pPr>
            <w:r>
              <w:rPr>
                <w:rFonts w:hint="eastAsia" w:ascii="Nimbus Roman No9 L" w:hAnsi="Nimbus Roman No9 L" w:eastAsia="方正仿宋_GBK" w:cs="Nimbus Roman No9 L"/>
                <w:color w:val="000000" w:themeColor="text1"/>
                <w:lang w:val="en-US" w:eastAsia="zh-CN"/>
                <w14:textFill>
                  <w14:solidFill>
                    <w14:schemeClr w14:val="tx1"/>
                  </w14:solidFill>
                </w14:textFill>
              </w:rPr>
              <w:t>2169.4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998"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高速公路里程</w:t>
            </w:r>
          </w:p>
        </w:tc>
        <w:tc>
          <w:tcPr>
            <w:tcW w:w="1730" w:type="dxa"/>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公里</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57.1</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lang w:val="en-US" w:eastAsia="zh-CN"/>
                <w14:textFill>
                  <w14:solidFill>
                    <w14:schemeClr w14:val="tx1"/>
                  </w14:solidFill>
                </w14:textFill>
              </w:rPr>
            </w:pPr>
            <w:r>
              <w:rPr>
                <w:rFonts w:hint="eastAsia" w:ascii="Nimbus Roman No9 L" w:hAnsi="Nimbus Roman No9 L" w:eastAsia="方正仿宋_GBK" w:cs="Nimbus Roman No9 L"/>
                <w:color w:val="000000" w:themeColor="text1"/>
                <w:lang w:val="en-US" w:eastAsia="zh-CN"/>
                <w14:textFill>
                  <w14:solidFill>
                    <w14:schemeClr w14:val="tx1"/>
                  </w14:solidFill>
                </w14:textFill>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998"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二级以上公路里程</w:t>
            </w:r>
          </w:p>
        </w:tc>
        <w:tc>
          <w:tcPr>
            <w:tcW w:w="1730" w:type="dxa"/>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公里</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lang w:val="en-US" w:eastAsia="zh-CN"/>
                <w14:textFill>
                  <w14:solidFill>
                    <w14:schemeClr w14:val="tx1"/>
                  </w14:solidFill>
                </w14:textFill>
              </w:rPr>
            </w:pPr>
            <w:r>
              <w:rPr>
                <w:rFonts w:hint="eastAsia" w:ascii="Nimbus Roman No9 L" w:hAnsi="Nimbus Roman No9 L" w:eastAsia="方正仿宋_GBK" w:cs="Nimbus Roman No9 L"/>
                <w:color w:val="000000" w:themeColor="text1"/>
                <w:lang w:val="en-US" w:eastAsia="zh-CN"/>
                <w14:textFill>
                  <w14:solidFill>
                    <w14:schemeClr w14:val="tx1"/>
                  </w14:solidFill>
                </w14:textFill>
              </w:rPr>
              <w:t>238.9</w:t>
            </w:r>
          </w:p>
        </w:tc>
        <w:tc>
          <w:tcPr>
            <w:tcW w:w="242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lang w:val="en-US" w:eastAsia="zh-CN"/>
                <w14:textFill>
                  <w14:solidFill>
                    <w14:schemeClr w14:val="tx1"/>
                  </w14:solidFill>
                </w14:textFill>
              </w:rPr>
            </w:pPr>
            <w:r>
              <w:rPr>
                <w:rFonts w:hint="eastAsia" w:ascii="Nimbus Roman No9 L" w:hAnsi="Nimbus Roman No9 L" w:eastAsia="方正仿宋_GBK" w:cs="Nimbus Roman No9 L"/>
                <w:color w:val="000000" w:themeColor="text1"/>
                <w:lang w:val="en-US" w:eastAsia="zh-CN"/>
                <w14:textFill>
                  <w14:solidFill>
                    <w14:schemeClr w14:val="tx1"/>
                  </w14:solidFill>
                </w14:textFill>
              </w:rPr>
              <w:t>265.1</w:t>
            </w:r>
          </w:p>
        </w:tc>
      </w:tr>
    </w:tbl>
    <w:p>
      <w:pPr>
        <w:pStyle w:val="27"/>
        <w:keepNext w:val="0"/>
        <w:keepLines w:val="0"/>
        <w:pageBreakBefore w:val="0"/>
        <w:widowControl w:val="0"/>
        <w:kinsoku/>
        <w:wordWrap/>
        <w:overflowPunct/>
        <w:topLinePunct w:val="0"/>
        <w:autoSpaceDE/>
        <w:autoSpaceDN/>
        <w:bidi w:val="0"/>
        <w:adjustRightInd/>
        <w:snapToGrid/>
        <w:spacing w:before="156" w:line="50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p>
    <w:p>
      <w:pPr>
        <w:pStyle w:val="27"/>
        <w:keepNext w:val="0"/>
        <w:keepLines w:val="0"/>
        <w:pageBreakBefore w:val="0"/>
        <w:widowControl w:val="0"/>
        <w:kinsoku/>
        <w:wordWrap/>
        <w:overflowPunct/>
        <w:topLinePunct w:val="0"/>
        <w:autoSpaceDE/>
        <w:autoSpaceDN/>
        <w:bidi w:val="0"/>
        <w:adjustRightInd/>
        <w:snapToGrid/>
        <w:spacing w:before="156" w:line="50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default"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表5-2  平远县“十四五”“三纵一横”快速交通通道</w:t>
      </w:r>
    </w:p>
    <w:tbl>
      <w:tblPr>
        <w:tblStyle w:val="22"/>
        <w:tblW w:w="9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187"/>
        <w:gridCol w:w="4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DEEAF6" w:themeFill="accent1" w:themeFillTint="33"/>
            <w:vAlign w:val="center"/>
          </w:tcPr>
          <w:p>
            <w:pPr>
              <w:pStyle w:val="35"/>
              <w:rPr>
                <w:color w:val="auto"/>
              </w:rPr>
            </w:pPr>
            <w:r>
              <w:rPr>
                <w:rFonts w:hint="eastAsia"/>
                <w:color w:val="auto"/>
              </w:rPr>
              <w:t>结构</w:t>
            </w:r>
          </w:p>
        </w:tc>
        <w:tc>
          <w:tcPr>
            <w:tcW w:w="3187" w:type="dxa"/>
            <w:shd w:val="clear" w:color="auto" w:fill="DEEAF6" w:themeFill="accent1" w:themeFillTint="33"/>
            <w:vAlign w:val="center"/>
          </w:tcPr>
          <w:p>
            <w:pPr>
              <w:pStyle w:val="35"/>
              <w:rPr>
                <w:color w:val="auto"/>
              </w:rPr>
            </w:pPr>
            <w:r>
              <w:rPr>
                <w:rFonts w:hint="eastAsia"/>
                <w:color w:val="auto"/>
              </w:rPr>
              <w:t>功能定位</w:t>
            </w:r>
          </w:p>
        </w:tc>
        <w:tc>
          <w:tcPr>
            <w:tcW w:w="4999" w:type="dxa"/>
            <w:shd w:val="clear" w:color="auto" w:fill="DEEAF6" w:themeFill="accent1" w:themeFillTint="33"/>
            <w:vAlign w:val="center"/>
          </w:tcPr>
          <w:p>
            <w:pPr>
              <w:pStyle w:val="35"/>
              <w:rPr>
                <w:color w:val="auto"/>
              </w:rPr>
            </w:pPr>
            <w:r>
              <w:rPr>
                <w:rFonts w:hint="eastAsia"/>
                <w:color w:val="auto"/>
              </w:rPr>
              <w:t>快速交通通道规划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纵一</w:t>
            </w:r>
          </w:p>
        </w:tc>
        <w:tc>
          <w:tcPr>
            <w:tcW w:w="3187" w:type="dxa"/>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区域性出省通道</w:t>
            </w:r>
          </w:p>
        </w:tc>
        <w:tc>
          <w:tcPr>
            <w:tcW w:w="4999" w:type="dxa"/>
            <w:shd w:val="clear" w:color="auto" w:fill="auto"/>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济广高速+平武高速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纵</w:t>
            </w:r>
            <w:r>
              <w:rPr>
                <w:rFonts w:hint="default" w:ascii="Nimbus Roman No9 L" w:hAnsi="Nimbus Roman No9 L" w:eastAsia="方正仿宋_GBK" w:cs="Nimbus Roman No9 L"/>
                <w:color w:val="auto"/>
              </w:rPr>
              <w:t>二</w:t>
            </w:r>
          </w:p>
        </w:tc>
        <w:tc>
          <w:tcPr>
            <w:tcW w:w="3187" w:type="dxa"/>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区域性出省通道</w:t>
            </w:r>
          </w:p>
        </w:tc>
        <w:tc>
          <w:tcPr>
            <w:tcW w:w="4999" w:type="dxa"/>
            <w:shd w:val="clear" w:color="auto" w:fill="auto"/>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G206</w:t>
            </w:r>
            <w:r>
              <w:rPr>
                <w:rFonts w:hint="default" w:ascii="Nimbus Roman No9 L" w:hAnsi="Nimbus Roman No9 L" w:eastAsia="方正仿宋_GBK" w:cs="Nimbus Roman No9 L"/>
                <w:color w:val="auto"/>
              </w:rPr>
              <w:t>+G358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纵三</w:t>
            </w:r>
          </w:p>
        </w:tc>
        <w:tc>
          <w:tcPr>
            <w:tcW w:w="3187" w:type="dxa"/>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区域性运输大动脉</w:t>
            </w:r>
          </w:p>
        </w:tc>
        <w:tc>
          <w:tcPr>
            <w:tcW w:w="4999" w:type="dxa"/>
            <w:shd w:val="clear" w:color="auto" w:fill="auto"/>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瑞梅铁路+赣梅高铁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横一</w:t>
            </w:r>
          </w:p>
        </w:tc>
        <w:tc>
          <w:tcPr>
            <w:tcW w:w="3187" w:type="dxa"/>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连接</w:t>
            </w:r>
            <w:r>
              <w:rPr>
                <w:rFonts w:hint="default" w:ascii="Nimbus Roman No9 L" w:hAnsi="Nimbus Roman No9 L" w:eastAsia="方正仿宋_GBK" w:cs="Nimbus Roman No9 L"/>
                <w:color w:val="auto"/>
              </w:rPr>
              <w:t>市区辐射周边</w:t>
            </w:r>
          </w:p>
        </w:tc>
        <w:tc>
          <w:tcPr>
            <w:tcW w:w="4999" w:type="dxa"/>
            <w:shd w:val="clear" w:color="auto" w:fill="auto"/>
            <w:vAlign w:val="center"/>
          </w:tcPr>
          <w:p>
            <w:pPr>
              <w:pStyle w:val="35"/>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梅平高速+平蕉大高速</w:t>
            </w:r>
          </w:p>
        </w:tc>
      </w:tr>
    </w:tbl>
    <w:p>
      <w:pPr>
        <w:pStyle w:val="27"/>
        <w:spacing w:before="156"/>
        <w:rPr>
          <w:rFonts w:hint="eastAsia"/>
          <w:color w:val="auto"/>
        </w:rPr>
      </w:pPr>
    </w:p>
    <w:p>
      <w:pPr>
        <w:pStyle w:val="27"/>
        <w:spacing w:before="156"/>
        <w:rPr>
          <w:rFonts w:hint="eastAsia"/>
          <w:color w:val="auto"/>
        </w:rPr>
      </w:pP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表5-3  平远县“十四五”“三纵三横一环”国省干线</w:t>
      </w:r>
    </w:p>
    <w:tbl>
      <w:tblPr>
        <w:tblStyle w:val="22"/>
        <w:tblW w:w="9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DEEAF6" w:themeFill="accent1" w:themeFillTint="33"/>
            <w:vAlign w:val="center"/>
          </w:tcPr>
          <w:p>
            <w:pPr>
              <w:pStyle w:val="35"/>
              <w:rPr>
                <w:color w:val="auto"/>
              </w:rPr>
            </w:pPr>
            <w:r>
              <w:rPr>
                <w:rFonts w:hint="eastAsia"/>
                <w:color w:val="auto"/>
              </w:rPr>
              <w:t>结构</w:t>
            </w:r>
          </w:p>
        </w:tc>
        <w:tc>
          <w:tcPr>
            <w:tcW w:w="8186" w:type="dxa"/>
            <w:shd w:val="clear" w:color="auto" w:fill="DEEAF6" w:themeFill="accent1" w:themeFillTint="33"/>
            <w:vAlign w:val="center"/>
          </w:tcPr>
          <w:p>
            <w:pPr>
              <w:pStyle w:val="35"/>
              <w:rPr>
                <w:color w:val="auto"/>
              </w:rPr>
            </w:pPr>
            <w:r>
              <w:rPr>
                <w:rFonts w:hint="eastAsia"/>
                <w:color w:val="auto"/>
              </w:rPr>
              <w:t>快速交通通道规划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纵一</w:t>
            </w:r>
          </w:p>
        </w:tc>
        <w:tc>
          <w:tcPr>
            <w:tcW w:w="8186"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G206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纵二</w:t>
            </w:r>
          </w:p>
        </w:tc>
        <w:tc>
          <w:tcPr>
            <w:tcW w:w="8186"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S334+S239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纵三</w:t>
            </w:r>
          </w:p>
        </w:tc>
        <w:tc>
          <w:tcPr>
            <w:tcW w:w="8186"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S239+X959+S332+X038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横一</w:t>
            </w:r>
          </w:p>
        </w:tc>
        <w:tc>
          <w:tcPr>
            <w:tcW w:w="8186"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G358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横二</w:t>
            </w:r>
          </w:p>
        </w:tc>
        <w:tc>
          <w:tcPr>
            <w:tcW w:w="8186" w:type="dxa"/>
            <w:shd w:val="clear" w:color="auto" w:fill="auto"/>
            <w:vAlign w:val="center"/>
          </w:tcPr>
          <w:p>
            <w:pPr>
              <w:pStyle w:val="35"/>
              <w:rPr>
                <w:rFonts w:hint="default" w:ascii="Nimbus Roman No9 L" w:hAnsi="Nimbus Roman No9 L" w:eastAsia="方正仿宋_GBK" w:cs="Nimbus Roman No9 L"/>
                <w:color w:val="auto"/>
                <w:lang w:val="en-US" w:eastAsia="zh-CN"/>
              </w:rPr>
            </w:pPr>
            <w:r>
              <w:rPr>
                <w:rFonts w:hint="eastAsia" w:ascii="Nimbus Roman No9 L" w:hAnsi="Nimbus Roman No9 L" w:eastAsia="方正仿宋_GBK" w:cs="Nimbus Roman No9 L"/>
                <w:color w:val="auto"/>
              </w:rPr>
              <w:t>X966+X042+X041+X</w:t>
            </w:r>
            <w:r>
              <w:rPr>
                <w:rFonts w:hint="eastAsia" w:ascii="Nimbus Roman No9 L" w:hAnsi="Nimbus Roman No9 L" w:eastAsia="方正仿宋_GBK" w:cs="Nimbus Roman No9 L"/>
                <w:color w:val="auto"/>
                <w:lang w:val="en-US"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横三</w:t>
            </w:r>
          </w:p>
        </w:tc>
        <w:tc>
          <w:tcPr>
            <w:tcW w:w="8186"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S225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4"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一环</w:t>
            </w:r>
          </w:p>
        </w:tc>
        <w:tc>
          <w:tcPr>
            <w:tcW w:w="8186" w:type="dxa"/>
            <w:shd w:val="clear" w:color="auto" w:fill="auto"/>
            <w:vAlign w:val="center"/>
          </w:tcPr>
          <w:p>
            <w:pPr>
              <w:pStyle w:val="35"/>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G206（田螺纽至超竹段）</w:t>
            </w:r>
          </w:p>
        </w:tc>
      </w:tr>
    </w:tbl>
    <w:p>
      <w:pPr>
        <w:ind w:firstLine="600"/>
        <w:rPr>
          <w:color w:val="auto"/>
        </w:rPr>
      </w:pPr>
    </w:p>
    <w:p>
      <w:pPr>
        <w:pStyle w:val="26"/>
        <w:bidi w:val="0"/>
        <w:rPr>
          <w:color w:val="auto"/>
        </w:rPr>
      </w:pPr>
      <w:r>
        <w:rPr>
          <w:color w:val="auto"/>
        </w:rPr>
        <w:drawing>
          <wp:inline distT="0" distB="0" distL="114300" distR="114300">
            <wp:extent cx="5711825" cy="7606665"/>
            <wp:effectExtent l="0" t="0" r="317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rcRect t="136" b="291"/>
                    <a:stretch>
                      <a:fillRect/>
                    </a:stretch>
                  </pic:blipFill>
                  <pic:spPr>
                    <a:xfrm>
                      <a:off x="0" y="0"/>
                      <a:ext cx="5711825" cy="7606665"/>
                    </a:xfrm>
                    <a:prstGeom prst="rect">
                      <a:avLst/>
                    </a:prstGeom>
                    <a:noFill/>
                    <a:ln>
                      <a:noFill/>
                    </a:ln>
                  </pic:spPr>
                </pic:pic>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图5-1  “十四五”平远县快速交通体系设施布局规划</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pPr>
      <w:bookmarkStart w:id="24" w:name="_Toc25234"/>
      <w:r>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t>5.1铁路规划布局</w:t>
      </w:r>
      <w:bookmarkEnd w:id="24"/>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5.1.1瑞金至梅州铁路</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瑞金至梅州铁路（以下简称“瑞梅铁路”）是国家《中长期铁路网规划》普速铁路网。该项目的建设，对完善赣粤地区铁路网络体系和加强珠三角、粤东地区与中部地区间的交通联结，实施精准扶贫、推动区域协调发展、促进革命老区经济快速发展具有十分重要的作用。该铁路是按国家一级，单线160公里／小时标准设计的客货共线电气化铁路，线路从赣龙扩能改造工程瑞金站引出，途经赣南革命老区的瑞金市、会昌县、安远县、寻乌县和广东梅州市的平远县、梅县区、梅江区等7个县（区），引入既有漳龙铁路梅州站。全线长约243.9公里，总投资约167.9亿元，其中平远县境内正线长度47.3km，投资约33亿元。“十四五”时期，该铁路建成之后，平远县将告别“县内无铁路”的岁月。同时，瑞梅铁路的建成所带来的客运量及货运量将大力促进平远县的经济发展，提高平远人民的生活水平。</w:t>
      </w:r>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5.1.2赣州至梅州高铁</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规划赣梅高铁全长180.869公里，由赣深客专信丰西站引出，经江西省信丰、安远、寻乌，广东省平远后，接梅州西站，其中广东境内约75公里。按双线，速度目标值250km/h以上客运专线标准建设。本线与梅汕客专形成广东潮汕和梅州地区北上最便捷最重要的战略交通要道，经赣州西站后可形成北上的京赣汕高铁通道。规划建设赣梅高铁，使梅州东联海西区、西联珠三角、南联潮汕揭、北联江西内陆腹地，为梅州更好地落实原中央苏区振兴规划、打造闽粤赣区域性交通枢纽、突破发展瓶颈制约、构建闽粤赣区域中心城市夯实基础。</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pPr>
      <w:bookmarkStart w:id="25" w:name="_Toc19666"/>
      <w:bookmarkStart w:id="26" w:name="_Toc23564"/>
      <w:r>
        <w:rPr>
          <w:rFonts w:hint="eastAsia"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t>5.2高速公路规划布局</w:t>
      </w:r>
      <w:bookmarkEnd w:id="25"/>
    </w:p>
    <w:p>
      <w:pPr>
        <w:pStyle w:val="26"/>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drawing>
          <wp:inline distT="0" distB="0" distL="114300" distR="114300">
            <wp:extent cx="4565015" cy="6080760"/>
            <wp:effectExtent l="0" t="0" r="698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rcRect t="136" b="245"/>
                    <a:stretch>
                      <a:fillRect/>
                    </a:stretch>
                  </pic:blipFill>
                  <pic:spPr>
                    <a:xfrm>
                      <a:off x="0" y="0"/>
                      <a:ext cx="4565015" cy="6080760"/>
                    </a:xfrm>
                    <a:prstGeom prst="rect">
                      <a:avLst/>
                    </a:prstGeom>
                    <a:noFill/>
                    <a:ln>
                      <a:noFill/>
                    </a:ln>
                  </pic:spPr>
                </pic:pic>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图5-2  “十四五”平远县段高速公路网布局规划</w:t>
      </w:r>
    </w:p>
    <w:p>
      <w:pPr>
        <w:pStyle w:val="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5.2.1平武高速</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平远县“十四五”期末，高速公路如表5-4所示。</w:t>
      </w:r>
    </w:p>
    <w:p>
      <w:pPr>
        <w:pStyle w:val="27"/>
        <w:keepNext w:val="0"/>
        <w:keepLines w:val="0"/>
        <w:pageBreakBefore w:val="0"/>
        <w:widowControl w:val="0"/>
        <w:kinsoku/>
        <w:wordWrap/>
        <w:overflowPunct/>
        <w:topLinePunct w:val="0"/>
        <w:autoSpaceDE/>
        <w:autoSpaceDN/>
        <w:bidi w:val="0"/>
        <w:adjustRightInd/>
        <w:snapToGrid/>
        <w:spacing w:before="0" w:beforeLines="0" w:line="60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表5-4  平远县“十四五”高速公路规划表</w:t>
      </w:r>
    </w:p>
    <w:tbl>
      <w:tblPr>
        <w:tblStyle w:val="22"/>
        <w:tblpPr w:leftFromText="180" w:rightFromText="180" w:vertAnchor="text" w:horzAnchor="page" w:tblpXSpec="center" w:tblpY="64"/>
        <w:tblOverlap w:val="never"/>
        <w:tblW w:w="88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562"/>
        <w:gridCol w:w="1743"/>
        <w:gridCol w:w="878"/>
        <w:gridCol w:w="1429"/>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0" w:hRule="atLeast"/>
          <w:jc w:val="center"/>
        </w:trPr>
        <w:tc>
          <w:tcPr>
            <w:tcW w:w="695" w:type="dxa"/>
            <w:shd w:val="clear" w:color="auto" w:fill="DEEBF6" w:themeFill="accent1" w:themeFillTint="32"/>
            <w:vAlign w:val="center"/>
          </w:tcPr>
          <w:p>
            <w:pPr>
              <w:pStyle w:val="35"/>
              <w:keepNext w:val="0"/>
              <w:keepLines w:val="0"/>
              <w:pageBreakBefore w:val="0"/>
              <w:widowControl w:val="0"/>
              <w:kinsoku/>
              <w:wordWrap/>
              <w:overflowPunct/>
              <w:topLinePunct w:val="0"/>
              <w:autoSpaceDE/>
              <w:autoSpaceDN/>
              <w:bidi w:val="0"/>
              <w:adjustRightInd/>
              <w:snapToGrid/>
              <w:textAlignment w:val="auto"/>
              <w:rPr>
                <w:color w:val="auto"/>
              </w:rPr>
            </w:pPr>
            <w:r>
              <w:rPr>
                <w:rFonts w:hint="eastAsia"/>
                <w:color w:val="auto"/>
              </w:rPr>
              <w:t>序号</w:t>
            </w:r>
          </w:p>
        </w:tc>
        <w:tc>
          <w:tcPr>
            <w:tcW w:w="2562" w:type="dxa"/>
            <w:shd w:val="clear" w:color="auto" w:fill="DEEBF6" w:themeFill="accent1" w:themeFillTint="32"/>
            <w:vAlign w:val="center"/>
          </w:tcPr>
          <w:p>
            <w:pPr>
              <w:pStyle w:val="35"/>
              <w:keepNext w:val="0"/>
              <w:keepLines w:val="0"/>
              <w:pageBreakBefore w:val="0"/>
              <w:widowControl w:val="0"/>
              <w:kinsoku/>
              <w:wordWrap/>
              <w:overflowPunct/>
              <w:topLinePunct w:val="0"/>
              <w:autoSpaceDE/>
              <w:autoSpaceDN/>
              <w:bidi w:val="0"/>
              <w:adjustRightInd/>
              <w:snapToGrid/>
              <w:textAlignment w:val="auto"/>
              <w:rPr>
                <w:color w:val="auto"/>
              </w:rPr>
            </w:pPr>
            <w:r>
              <w:rPr>
                <w:rFonts w:hint="eastAsia"/>
                <w:color w:val="auto"/>
              </w:rPr>
              <w:t>项目名称</w:t>
            </w:r>
          </w:p>
        </w:tc>
        <w:tc>
          <w:tcPr>
            <w:tcW w:w="1743" w:type="dxa"/>
            <w:shd w:val="clear" w:color="auto" w:fill="DEEBF6" w:themeFill="accent1" w:themeFillTint="32"/>
            <w:vAlign w:val="center"/>
          </w:tcPr>
          <w:p>
            <w:pPr>
              <w:pStyle w:val="35"/>
              <w:keepNext w:val="0"/>
              <w:keepLines w:val="0"/>
              <w:pageBreakBefore w:val="0"/>
              <w:widowControl w:val="0"/>
              <w:kinsoku/>
              <w:wordWrap/>
              <w:overflowPunct/>
              <w:topLinePunct w:val="0"/>
              <w:autoSpaceDE/>
              <w:autoSpaceDN/>
              <w:bidi w:val="0"/>
              <w:adjustRightInd/>
              <w:snapToGrid/>
              <w:textAlignment w:val="auto"/>
              <w:rPr>
                <w:color w:val="auto"/>
              </w:rPr>
            </w:pPr>
            <w:r>
              <w:rPr>
                <w:rFonts w:hint="eastAsia"/>
                <w:color w:val="auto"/>
              </w:rPr>
              <w:t>建设单位</w:t>
            </w:r>
          </w:p>
        </w:tc>
        <w:tc>
          <w:tcPr>
            <w:tcW w:w="878" w:type="dxa"/>
            <w:shd w:val="clear" w:color="auto" w:fill="DEEBF6" w:themeFill="accent1" w:themeFillTint="32"/>
            <w:vAlign w:val="center"/>
          </w:tcPr>
          <w:p>
            <w:pPr>
              <w:pStyle w:val="35"/>
              <w:keepNext w:val="0"/>
              <w:keepLines w:val="0"/>
              <w:pageBreakBefore w:val="0"/>
              <w:widowControl w:val="0"/>
              <w:kinsoku/>
              <w:wordWrap/>
              <w:overflowPunct/>
              <w:topLinePunct w:val="0"/>
              <w:autoSpaceDE/>
              <w:autoSpaceDN/>
              <w:bidi w:val="0"/>
              <w:adjustRightInd/>
              <w:snapToGrid/>
              <w:textAlignment w:val="auto"/>
              <w:rPr>
                <w:color w:val="auto"/>
              </w:rPr>
            </w:pPr>
            <w:r>
              <w:rPr>
                <w:rFonts w:hint="eastAsia"/>
                <w:color w:val="auto"/>
              </w:rPr>
              <w:t>类型</w:t>
            </w:r>
          </w:p>
        </w:tc>
        <w:tc>
          <w:tcPr>
            <w:tcW w:w="1429" w:type="dxa"/>
            <w:shd w:val="clear" w:color="auto" w:fill="DEEBF6" w:themeFill="accent1" w:themeFillTint="32"/>
            <w:vAlign w:val="center"/>
          </w:tcPr>
          <w:p>
            <w:pPr>
              <w:pStyle w:val="35"/>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里程</w:t>
            </w:r>
          </w:p>
          <w:p>
            <w:pPr>
              <w:pStyle w:val="35"/>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（公里）</w:t>
            </w:r>
          </w:p>
        </w:tc>
        <w:tc>
          <w:tcPr>
            <w:tcW w:w="1539" w:type="dxa"/>
            <w:shd w:val="clear" w:color="auto" w:fill="DEEBF6" w:themeFill="accent1" w:themeFillTint="32"/>
            <w:vAlign w:val="center"/>
          </w:tcPr>
          <w:p>
            <w:pPr>
              <w:pStyle w:val="35"/>
              <w:keepNext w:val="0"/>
              <w:keepLines w:val="0"/>
              <w:pageBreakBefore w:val="0"/>
              <w:widowControl w:val="0"/>
              <w:kinsoku/>
              <w:wordWrap/>
              <w:overflowPunct/>
              <w:topLinePunct w:val="0"/>
              <w:autoSpaceDE/>
              <w:autoSpaceDN/>
              <w:bidi w:val="0"/>
              <w:adjustRightInd/>
              <w:snapToGrid/>
              <w:textAlignment w:val="auto"/>
              <w:rPr>
                <w:color w:val="auto"/>
              </w:rPr>
            </w:pPr>
            <w:r>
              <w:rPr>
                <w:rFonts w:hint="eastAsia"/>
                <w:color w:val="auto"/>
              </w:rPr>
              <w:t>计划时间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0" w:hRule="atLeast"/>
          <w:jc w:val="center"/>
        </w:trPr>
        <w:tc>
          <w:tcPr>
            <w:tcW w:w="695"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1</w:t>
            </w:r>
          </w:p>
        </w:tc>
        <w:tc>
          <w:tcPr>
            <w:tcW w:w="2562"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平（远）武（平）</w:t>
            </w:r>
          </w:p>
          <w:p>
            <w:pPr>
              <w:pStyle w:val="3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高速公路</w:t>
            </w:r>
          </w:p>
          <w:p>
            <w:pPr>
              <w:pStyle w:val="3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平远段（含平远出口迁移枢纽工程）</w:t>
            </w:r>
          </w:p>
        </w:tc>
        <w:tc>
          <w:tcPr>
            <w:tcW w:w="1743"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县交通运输局</w:t>
            </w:r>
          </w:p>
        </w:tc>
        <w:tc>
          <w:tcPr>
            <w:tcW w:w="878"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新建</w:t>
            </w:r>
          </w:p>
        </w:tc>
        <w:tc>
          <w:tcPr>
            <w:tcW w:w="1429"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42.189</w:t>
            </w:r>
          </w:p>
        </w:tc>
        <w:tc>
          <w:tcPr>
            <w:tcW w:w="1539"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2023</w:t>
            </w:r>
            <w:r>
              <w:rPr>
                <w:rFonts w:hint="eastAsia" w:ascii="Nimbus Roman No9 L" w:hAnsi="Nimbus Roman No9 L" w:eastAsia="方正仿宋_GBK" w:cs="Nimbus Roman No9 L"/>
                <w:color w:val="auto"/>
                <w:lang w:eastAsia="zh-CN"/>
              </w:rPr>
              <w:t>—</w:t>
            </w:r>
            <w:r>
              <w:rPr>
                <w:rFonts w:hint="eastAsia" w:ascii="Nimbus Roman No9 L" w:hAnsi="Nimbus Roman No9 L" w:eastAsia="方正仿宋_GBK" w:cs="Nimbus Roman No9 L"/>
                <w:color w:val="auto"/>
              </w:rPr>
              <w:t>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7" w:hRule="atLeast"/>
          <w:jc w:val="center"/>
        </w:trPr>
        <w:tc>
          <w:tcPr>
            <w:tcW w:w="695"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2</w:t>
            </w:r>
          </w:p>
        </w:tc>
        <w:tc>
          <w:tcPr>
            <w:tcW w:w="2562"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平（远）蕉（岭）大（埔）高速公路平远段</w:t>
            </w:r>
          </w:p>
        </w:tc>
        <w:tc>
          <w:tcPr>
            <w:tcW w:w="1743"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县交通运输局</w:t>
            </w:r>
          </w:p>
        </w:tc>
        <w:tc>
          <w:tcPr>
            <w:tcW w:w="878"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新建</w:t>
            </w:r>
          </w:p>
        </w:tc>
        <w:tc>
          <w:tcPr>
            <w:tcW w:w="1429"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14</w:t>
            </w:r>
          </w:p>
        </w:tc>
        <w:tc>
          <w:tcPr>
            <w:tcW w:w="1539" w:type="dxa"/>
            <w:vAlign w:val="center"/>
          </w:tcPr>
          <w:p>
            <w:pPr>
              <w:pStyle w:val="35"/>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2025</w:t>
            </w:r>
            <w:r>
              <w:rPr>
                <w:rFonts w:hint="eastAsia" w:ascii="Nimbus Roman No9 L" w:hAnsi="Nimbus Roman No9 L" w:eastAsia="方正仿宋_GBK" w:cs="Nimbus Roman No9 L"/>
                <w:color w:val="auto"/>
                <w:lang w:eastAsia="zh-CN"/>
              </w:rPr>
              <w:t>—</w:t>
            </w:r>
            <w:r>
              <w:rPr>
                <w:rFonts w:hint="eastAsia" w:ascii="Nimbus Roman No9 L" w:hAnsi="Nimbus Roman No9 L" w:eastAsia="方正仿宋_GBK" w:cs="Nimbus Roman No9 L"/>
                <w:color w:val="auto"/>
              </w:rPr>
              <w:t>2029</w:t>
            </w:r>
          </w:p>
        </w:tc>
      </w:tr>
    </w:tbl>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规划的平（远）武（平）高速公路起点位于差干镇湍溪村（闽粤界），对接福建省规划建设的浦城至武平高速公路，途经差干镇、上举镇、东石镇，终点位于大柘镇伯公坳，与已建成通车的G35济广高速公路相接。设计时速100km/h，双向四车道，全长42.2公里，总投资约63.3亿元。全线规划设置差干互通、上举互通、东石互通、平远北互通、径门口复合式枢纽互通等5处互通立交。该高速已列入《国家公路网规划》《广东省高速公路网规划（2020—2035年）》《广东省综合交通运输体系“十四五”发展规划》出省通道项目。</w:t>
      </w:r>
    </w:p>
    <w:p>
      <w:pPr>
        <w:pStyle w:val="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5.2.2平蕉大高速</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蕉（岭）大（埔）高速公路规划起于平武高速公路东石镇明洋段，途经热柘镇、蕉岭县华侨农场、梅县区松口镇、雁洋镇，终于大埔县大麻镇，与在建的大埔至潮州高速（含大埔至漳州支线）相连，全长约76公里，其中平远段14公里，投资概算为23.8亿元。建成后可将大埔县三河坝战役纪念园和平远县红军纪念园串连起来，放大红色旅游资源效应，将平远五指石、蕉岭长潭、大埔西岩山等旅游景区串珠成链，推动乡村振兴发展，为梅州增加一条对接海西区的出海快速大通道。</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pPr>
      <w:bookmarkStart w:id="27" w:name="_Toc29371"/>
      <w:r>
        <w:rPr>
          <w:rFonts w:hint="default" w:ascii="Nimbus Roman No9 L" w:hAnsi="Nimbus Roman No9 L" w:eastAsia="方正楷体_GBK" w:cs="Nimbus Roman No9 L"/>
          <w:b w:val="0"/>
          <w:bCs w:val="0"/>
          <w:color w:val="000000" w:themeColor="text1"/>
          <w:kern w:val="2"/>
          <w:sz w:val="32"/>
          <w:szCs w:val="32"/>
          <w:lang w:val="en-US" w:eastAsia="zh-CN" w:bidi="ar-SA"/>
          <w14:textFill>
            <w14:solidFill>
              <w14:schemeClr w14:val="tx1"/>
            </w14:solidFill>
          </w14:textFill>
        </w:rPr>
        <w:t>5.3航空发展规划布局</w:t>
      </w:r>
      <w:bookmarkEnd w:id="27"/>
    </w:p>
    <w:p>
      <w:pPr>
        <w:pStyle w:val="5"/>
        <w:keepNext/>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5.3.1规划建设平远通用机场</w:t>
      </w:r>
    </w:p>
    <w:p>
      <w:pPr>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广东省通用机场布局规划（2020—2035年）》指出，将结合功能布局需求，构建以珠三角地区为核心，覆盖粤东西北地区的通用机场布局。到2025年，全省通用机场体系基本形成，通用机场布点达到32个；到2035年，全省通用机场体系进一步</w:t>
      </w:r>
      <w:r>
        <w:rPr>
          <w:rFonts w:hint="eastAsia" w:ascii="Nimbus Roman No9 L" w:hAnsi="Nimbus Roman No9 L" w:eastAsia="方正仿宋简体" w:cs="Nimbus Roman No9 L"/>
          <w:b w:val="0"/>
          <w:bCs w:val="0"/>
          <w:color w:val="000000" w:themeColor="text1"/>
          <w:spacing w:val="-11"/>
          <w:kern w:val="2"/>
          <w:sz w:val="32"/>
          <w:szCs w:val="32"/>
          <w:lang w:val="en-US" w:eastAsia="zh-CN" w:bidi="ar-SA"/>
          <w14:textFill>
            <w14:solidFill>
              <w14:schemeClr w14:val="tx1"/>
            </w14:solidFill>
          </w14:textFill>
        </w:rPr>
        <w:t>完善，通用机场布点达到57个。平远通用机场规划在2026—2035年。</w:t>
      </w:r>
    </w:p>
    <w:p>
      <w:pPr>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根据通用机场选址原则和要求，规划设置2个通用机场：平远县通用机场、平远县五指石通用机场，分别位于平远县的南部、北部区域，可覆盖和辐射全县大部分地区。</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rPr>
      </w:pPr>
      <w:r>
        <w:rPr>
          <w:color w:val="auto"/>
        </w:rPr>
        <w:drawing>
          <wp:inline distT="0" distB="0" distL="0" distR="0">
            <wp:extent cx="4664710" cy="6214110"/>
            <wp:effectExtent l="0" t="0" r="2540" b="15240"/>
            <wp:docPr id="1034" name="图片 18" descr="C:\Users\pomelo\Desktop\微信图片_20220329210031.jpg微信图片_202203292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8" descr="C:\Users\pomelo\Desktop\微信图片_20220329210031.jpg微信图片_20220329210031"/>
                    <pic:cNvPicPr>
                      <a:picLocks noChangeAspect="1"/>
                    </pic:cNvPicPr>
                  </pic:nvPicPr>
                  <pic:blipFill>
                    <a:blip r:embed="rId18"/>
                    <a:srcRect l="644" t="483" r="289" b="623"/>
                    <a:stretch>
                      <a:fillRect/>
                    </a:stretch>
                  </pic:blipFill>
                  <pic:spPr>
                    <a:xfrm>
                      <a:off x="0" y="0"/>
                      <a:ext cx="4664710" cy="6214110"/>
                    </a:xfrm>
                    <a:prstGeom prst="rect">
                      <a:avLst/>
                    </a:prstGeom>
                  </pic:spPr>
                </pic:pic>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图5-3  “十四五”平远县通用机场布局规划</w:t>
      </w:r>
    </w:p>
    <w:p>
      <w:pPr>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平远县通用机场定位为一类通用机场，规划选址于大柘镇（县城）东南部，具备服务10～29座航空器经营性载人飞行业务的能力，最高月起降架次可达到3000以上。跑道和飞行区应符合MH5001规范。</w:t>
      </w:r>
    </w:p>
    <w:p>
      <w:pPr>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平远县五指石通用机场定位为二类通用机场，规划选址于差干镇五指石风景区南部，具备服务5～9座航空器经营性载人飞行业务的能力，最高月起降量在600～3000架次之间。跑道和飞行区应符合MH5001规范。</w:t>
      </w:r>
    </w:p>
    <w:p>
      <w:pPr>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本规划提出的2个通用机场的用地选址、机场用地范围（含跑道用地）和空域控制要求，将在通用机场的前期研究和设计等阶段，根据国家有关标准和规定的要求进一步研究明确。县自然资源、住房城乡建设、生态环境、林业等部门在有关行业规划中预留2个通用机场的用地范围，为项目的实施预留实施条件。</w:t>
      </w:r>
    </w:p>
    <w:p>
      <w:pPr>
        <w:pStyle w:val="5"/>
        <w:keepNext/>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28" w:name="_Toc23824"/>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5.3.2加快建设平远候机楼</w:t>
      </w:r>
      <w:bookmarkEnd w:id="28"/>
    </w:p>
    <w:p>
      <w:pPr>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29" w:name="_Toc26622"/>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城区到梅县机场距离约55公里，车程约50分钟，到揭阳潮汕机场距离约160公里，车程约2小时，随着平远县经济社会快速发展，尤其是旅游业的蓬勃发展，以及人民群众生活水平的提高，平远县选择高端出行的人员呈现快速增长的态势，有必要尽快开通城市候机楼业务。</w:t>
      </w:r>
      <w:bookmarkEnd w:id="29"/>
    </w:p>
    <w:p>
      <w:pPr>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30" w:name="_Toc25072"/>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根据平远县交通和区位现状情况，平远候机楼应选择设置在交通便捷、空间充足、外观现代的公共建筑内，一般与高级酒店、车站等联合设置。规划平远候机楼选址在平远汽车站（新站）或平远迎宾馆（备选），城市候机楼应具备机票预定购买、领取登机牌、异地值机、航班信息咨询、空港快线始发终到等功能，为旅客节约去往机场的时间和交通费用。</w:t>
      </w:r>
      <w:bookmarkEnd w:id="30"/>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31" w:name="_Toc24117"/>
      <w:r>
        <w:rPr>
          <w:rFonts w:hint="default" w:ascii="Nimbus Roman No9 L" w:hAnsi="Nimbus Roman No9 L" w:eastAsia="方正楷体_GBK" w:cs="Nimbus Roman No9 L"/>
          <w:b w:val="0"/>
          <w:bCs/>
          <w:color w:val="auto"/>
          <w:sz w:val="32"/>
          <w:szCs w:val="32"/>
        </w:rPr>
        <w:t>5.4客货运枢纽规划布局</w:t>
      </w:r>
      <w:bookmarkEnd w:id="31"/>
    </w:p>
    <w:p>
      <w:pPr>
        <w:pStyle w:val="26"/>
        <w:keepNext w:val="0"/>
        <w:keepLines w:val="0"/>
        <w:pageBreakBefore w:val="0"/>
        <w:widowControl w:val="0"/>
        <w:kinsoku/>
        <w:wordWrap/>
        <w:overflowPunct/>
        <w:topLinePunct w:val="0"/>
        <w:autoSpaceDE/>
        <w:autoSpaceDN/>
        <w:bidi w:val="0"/>
        <w:adjustRightInd/>
        <w:snapToGrid/>
        <w:textAlignment w:val="auto"/>
        <w:rPr>
          <w:rStyle w:val="46"/>
          <w:b/>
          <w:color w:val="auto"/>
        </w:rPr>
      </w:pPr>
      <w:r>
        <w:rPr>
          <w:color w:val="auto"/>
        </w:rPr>
        <w:drawing>
          <wp:inline distT="0" distB="0" distL="114300" distR="114300">
            <wp:extent cx="5763895" cy="7683500"/>
            <wp:effectExtent l="0" t="0" r="8255" b="12700"/>
            <wp:docPr id="9" name="图片 9" descr="D:\2022年项目\2022广东平远十四五交通规划\0325修改稿\平远V15\9-1.jpg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2022年项目\2022广东平远十四五交通规划\0325修改稿\平远V15\9-1.jpg9-1"/>
                    <pic:cNvPicPr>
                      <a:picLocks noChangeAspect="1"/>
                    </pic:cNvPicPr>
                  </pic:nvPicPr>
                  <pic:blipFill>
                    <a:blip r:embed="rId19"/>
                    <a:srcRect/>
                    <a:stretch>
                      <a:fillRect/>
                    </a:stretch>
                  </pic:blipFill>
                  <pic:spPr>
                    <a:xfrm>
                      <a:off x="0" y="0"/>
                      <a:ext cx="5763895" cy="7683500"/>
                    </a:xfrm>
                    <a:prstGeom prst="rect">
                      <a:avLst/>
                    </a:prstGeom>
                  </pic:spPr>
                </pic:pic>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图5-4  “十四五”平远县客货运枢纽规划布局图</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5.4.1客运枢纽和站场布局</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结合平远县城镇体系规划、城乡总体规划、人口分布和现状交通情况，规划在全县设置客运枢纽和站场4处，其中区域客运枢纽2处（平远火车站综合客运枢纽、平远汽车站），小型客运站2处（仁居客运站、石正客运站）。其他镇应保证每个镇至少设一个简易站或招呼站（配客点），总体方案如表5-5所示。</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区域客运枢纽位于县城中心城区，主要提供大运量、长距离的省际、区域（城市群）间的交通出行以及乘客中转换乘服务，主要包括高快速铁路客运站、重要公路客运站等。小型客运站主要服务于县内各城镇之间的沟通联系，为县域群众提供中短途的客运服务。</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bookmarkStart w:id="32" w:name="_Toc3253"/>
      <w:bookmarkStart w:id="33" w:name="_Toc16822"/>
      <w:r>
        <w:rPr>
          <w:rFonts w:hint="eastAsia" w:ascii="Nimbus Roman No9 L" w:hAnsi="Nimbus Roman No9 L" w:eastAsia="方正黑体_GBK" w:cs="Nimbus Roman No9 L"/>
          <w:b w:val="0"/>
          <w:bCs/>
          <w:color w:val="auto"/>
          <w:kern w:val="2"/>
          <w:sz w:val="32"/>
          <w:szCs w:val="21"/>
          <w:lang w:val="en-US" w:eastAsia="zh-CN" w:bidi="ar-SA"/>
        </w:rPr>
        <w:t>表5-5  平远县客运枢纽站场布局方案</w:t>
      </w:r>
    </w:p>
    <w:tbl>
      <w:tblPr>
        <w:tblStyle w:val="22"/>
        <w:tblW w:w="9324"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498"/>
        <w:gridCol w:w="1872"/>
        <w:gridCol w:w="2240"/>
        <w:gridCol w:w="1585"/>
        <w:gridCol w:w="1503"/>
        <w:gridCol w:w="162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677" w:hRule="atLeast"/>
          <w:tblHeader/>
          <w:jc w:val="center"/>
        </w:trPr>
        <w:tc>
          <w:tcPr>
            <w:tcW w:w="498" w:type="dxa"/>
            <w:tcBorders>
              <w:top w:val="double" w:color="auto" w:sz="4" w:space="0"/>
              <w:bottom w:val="single" w:color="auto" w:sz="6" w:space="0"/>
            </w:tcBorders>
            <w:shd w:val="clear" w:color="auto" w:fill="DEEAF6" w:themeFill="accent1" w:themeFillTint="33"/>
            <w:vAlign w:val="center"/>
          </w:tcPr>
          <w:p>
            <w:pPr>
              <w:pStyle w:val="35"/>
              <w:rPr>
                <w:color w:val="auto"/>
              </w:rPr>
            </w:pPr>
            <w:r>
              <w:rPr>
                <w:rFonts w:hint="eastAsia"/>
                <w:color w:val="auto"/>
              </w:rPr>
              <w:t>序号</w:t>
            </w:r>
          </w:p>
        </w:tc>
        <w:tc>
          <w:tcPr>
            <w:tcW w:w="1872" w:type="dxa"/>
            <w:tcBorders>
              <w:top w:val="double" w:color="auto" w:sz="4" w:space="0"/>
              <w:bottom w:val="single" w:color="auto" w:sz="6" w:space="0"/>
            </w:tcBorders>
            <w:shd w:val="clear" w:color="auto" w:fill="DEEAF6" w:themeFill="accent1" w:themeFillTint="33"/>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名称</w:t>
            </w:r>
          </w:p>
        </w:tc>
        <w:tc>
          <w:tcPr>
            <w:tcW w:w="2240" w:type="dxa"/>
            <w:tcBorders>
              <w:top w:val="double" w:color="auto" w:sz="4" w:space="0"/>
              <w:bottom w:val="single" w:color="auto" w:sz="6" w:space="0"/>
            </w:tcBorders>
            <w:shd w:val="clear" w:color="auto" w:fill="DEEAF6" w:themeFill="accent1" w:themeFillTint="33"/>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主要服务对象</w:t>
            </w:r>
          </w:p>
          <w:p>
            <w:pPr>
              <w:pStyle w:val="35"/>
              <w:rPr>
                <w:rFonts w:hint="default" w:ascii="Nimbus Roman No9 L" w:hAnsi="Nimbus Roman No9 L" w:cs="Nimbus Roman No9 L"/>
                <w:color w:val="auto"/>
              </w:rPr>
            </w:pPr>
            <w:r>
              <w:rPr>
                <w:rFonts w:hint="default" w:ascii="Nimbus Roman No9 L" w:hAnsi="Nimbus Roman No9 L" w:cs="Nimbus Roman No9 L"/>
                <w:color w:val="auto"/>
              </w:rPr>
              <w:t>（方式）</w:t>
            </w:r>
          </w:p>
        </w:tc>
        <w:tc>
          <w:tcPr>
            <w:tcW w:w="1585" w:type="dxa"/>
            <w:tcBorders>
              <w:top w:val="double" w:color="auto" w:sz="4" w:space="0"/>
              <w:bottom w:val="single" w:color="auto" w:sz="6" w:space="0"/>
            </w:tcBorders>
            <w:shd w:val="clear" w:color="auto" w:fill="DEEAF6" w:themeFill="accent1" w:themeFillTint="33"/>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规划技术</w:t>
            </w:r>
          </w:p>
          <w:p>
            <w:pPr>
              <w:pStyle w:val="35"/>
              <w:rPr>
                <w:rFonts w:hint="default" w:ascii="Nimbus Roman No9 L" w:hAnsi="Nimbus Roman No9 L" w:cs="Nimbus Roman No9 L"/>
                <w:color w:val="auto"/>
              </w:rPr>
            </w:pPr>
            <w:r>
              <w:rPr>
                <w:rFonts w:hint="default" w:ascii="Nimbus Roman No9 L" w:hAnsi="Nimbus Roman No9 L" w:cs="Nimbus Roman No9 L"/>
                <w:color w:val="auto"/>
              </w:rPr>
              <w:t>等级</w:t>
            </w:r>
          </w:p>
        </w:tc>
        <w:tc>
          <w:tcPr>
            <w:tcW w:w="1503" w:type="dxa"/>
            <w:tcBorders>
              <w:top w:val="double" w:color="auto" w:sz="4" w:space="0"/>
              <w:bottom w:val="single" w:color="auto" w:sz="6" w:space="0"/>
            </w:tcBorders>
            <w:shd w:val="clear" w:color="auto" w:fill="DEEAF6" w:themeFill="accent1" w:themeFillTint="33"/>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面积</w:t>
            </w:r>
          </w:p>
          <w:p>
            <w:pPr>
              <w:pStyle w:val="35"/>
              <w:rPr>
                <w:rFonts w:hint="default" w:ascii="Nimbus Roman No9 L" w:hAnsi="Nimbus Roman No9 L" w:cs="Nimbus Roman No9 L"/>
                <w:color w:val="auto"/>
              </w:rPr>
            </w:pPr>
            <w:r>
              <w:rPr>
                <w:rFonts w:hint="default" w:ascii="Nimbus Roman No9 L" w:hAnsi="Nimbus Roman No9 L" w:cs="Nimbus Roman No9 L"/>
                <w:color w:val="auto"/>
                <w:lang w:eastAsia="zh-CN"/>
              </w:rPr>
              <w:t>（</w:t>
            </w:r>
            <w:r>
              <w:rPr>
                <w:rFonts w:hint="default" w:ascii="Nimbus Roman No9 L" w:hAnsi="Nimbus Roman No9 L" w:cs="Nimbus Roman No9 L"/>
                <w:color w:val="auto"/>
                <w:lang w:val="en-US" w:eastAsia="zh-CN"/>
              </w:rPr>
              <w:t>m</w:t>
            </w:r>
            <w:r>
              <w:rPr>
                <w:rFonts w:hint="default" w:ascii="Nimbus Roman No9 L" w:hAnsi="Nimbus Roman No9 L" w:cs="Nimbus Roman No9 L"/>
                <w:color w:val="auto"/>
                <w:vertAlign w:val="superscript"/>
                <w:lang w:val="en-US" w:eastAsia="zh-CN"/>
              </w:rPr>
              <w:t>2</w:t>
            </w:r>
            <w:r>
              <w:rPr>
                <w:rFonts w:hint="default" w:ascii="Nimbus Roman No9 L" w:hAnsi="Nimbus Roman No9 L" w:cs="Nimbus Roman No9 L"/>
                <w:color w:val="auto"/>
                <w:lang w:eastAsia="zh-CN"/>
              </w:rPr>
              <w:t>）</w:t>
            </w:r>
          </w:p>
        </w:tc>
        <w:tc>
          <w:tcPr>
            <w:tcW w:w="1626" w:type="dxa"/>
            <w:tcBorders>
              <w:top w:val="double" w:color="auto" w:sz="4" w:space="0"/>
              <w:bottom w:val="single" w:color="auto" w:sz="6" w:space="0"/>
            </w:tcBorders>
            <w:shd w:val="clear" w:color="auto" w:fill="DEEAF6" w:themeFill="accent1" w:themeFillTint="33"/>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位置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498" w:type="dxa"/>
            <w:tcBorders>
              <w:top w:val="single" w:color="auto" w:sz="6" w:space="0"/>
              <w:left w:val="double" w:color="auto" w:sz="4" w:space="0"/>
              <w:bottom w:val="single" w:color="auto" w:sz="6" w:space="0"/>
              <w:right w:val="single" w:color="auto" w:sz="6" w:space="0"/>
            </w:tcBorders>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1872" w:type="dxa"/>
            <w:tcBorders>
              <w:top w:val="single" w:color="auto" w:sz="6" w:space="0"/>
              <w:left w:val="single" w:color="auto" w:sz="6" w:space="0"/>
              <w:bottom w:val="single" w:color="auto" w:sz="6" w:space="0"/>
              <w:right w:val="single" w:color="auto" w:sz="6" w:space="0"/>
            </w:tcBorders>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平远综合客运</w:t>
            </w:r>
          </w:p>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枢纽</w:t>
            </w:r>
          </w:p>
        </w:tc>
        <w:tc>
          <w:tcPr>
            <w:tcW w:w="2240" w:type="dxa"/>
            <w:tcBorders>
              <w:top w:val="single" w:color="auto" w:sz="6" w:space="0"/>
              <w:left w:val="single" w:color="auto" w:sz="6" w:space="0"/>
              <w:bottom w:val="single" w:color="auto" w:sz="6" w:space="0"/>
              <w:right w:val="single" w:color="auto" w:sz="6" w:space="0"/>
            </w:tcBorders>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瑞梅铁路、公路客运、公共汽车</w:t>
            </w:r>
          </w:p>
        </w:tc>
        <w:tc>
          <w:tcPr>
            <w:tcW w:w="1585" w:type="dxa"/>
            <w:tcBorders>
              <w:top w:val="single" w:color="auto" w:sz="6" w:space="0"/>
              <w:left w:val="single" w:color="auto" w:sz="6" w:space="0"/>
              <w:bottom w:val="single" w:color="auto" w:sz="6" w:space="0"/>
              <w:right w:val="single" w:color="auto" w:sz="6" w:space="0"/>
            </w:tcBorders>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综合客运枢纽</w:t>
            </w:r>
          </w:p>
        </w:tc>
        <w:tc>
          <w:tcPr>
            <w:tcW w:w="1503" w:type="dxa"/>
            <w:tcBorders>
              <w:top w:val="single" w:color="auto" w:sz="6" w:space="0"/>
              <w:left w:val="single" w:color="auto" w:sz="6" w:space="0"/>
              <w:bottom w:val="single" w:color="auto" w:sz="6" w:space="0"/>
              <w:right w:val="single" w:color="auto" w:sz="6" w:space="0"/>
            </w:tcBorders>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270000</w:t>
            </w:r>
          </w:p>
        </w:tc>
        <w:tc>
          <w:tcPr>
            <w:tcW w:w="1626" w:type="dxa"/>
            <w:tcBorders>
              <w:top w:val="single" w:color="auto" w:sz="6" w:space="0"/>
              <w:left w:val="single" w:color="auto" w:sz="6" w:space="0"/>
              <w:bottom w:val="single" w:color="auto" w:sz="6" w:space="0"/>
              <w:right w:val="double" w:color="auto" w:sz="4" w:space="0"/>
            </w:tcBorders>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大柘镇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498"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w:t>
            </w:r>
          </w:p>
        </w:tc>
        <w:tc>
          <w:tcPr>
            <w:tcW w:w="1872"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平远汽车站</w:t>
            </w:r>
          </w:p>
        </w:tc>
        <w:tc>
          <w:tcPr>
            <w:tcW w:w="2240" w:type="dxa"/>
            <w:vAlign w:val="center"/>
          </w:tcPr>
          <w:p>
            <w:pPr>
              <w:pStyle w:val="35"/>
              <w:snapToGrid w:val="0"/>
              <w:rPr>
                <w:rFonts w:hint="eastAsia"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rPr>
              <w:t>公路客运</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公共汽车</w:t>
            </w:r>
          </w:p>
        </w:tc>
        <w:tc>
          <w:tcPr>
            <w:tcW w:w="1585"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w:t>
            </w:r>
          </w:p>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（已建）</w:t>
            </w:r>
          </w:p>
        </w:tc>
        <w:tc>
          <w:tcPr>
            <w:tcW w:w="1503"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28000</w:t>
            </w:r>
          </w:p>
        </w:tc>
        <w:tc>
          <w:tcPr>
            <w:tcW w:w="1626"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大柘镇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498"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w:t>
            </w:r>
          </w:p>
        </w:tc>
        <w:tc>
          <w:tcPr>
            <w:tcW w:w="1872"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仁居客运站</w:t>
            </w:r>
          </w:p>
        </w:tc>
        <w:tc>
          <w:tcPr>
            <w:tcW w:w="2240"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公路客运</w:t>
            </w:r>
          </w:p>
        </w:tc>
        <w:tc>
          <w:tcPr>
            <w:tcW w:w="1585"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五级</w:t>
            </w:r>
          </w:p>
        </w:tc>
        <w:tc>
          <w:tcPr>
            <w:tcW w:w="1503"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1500</w:t>
            </w:r>
          </w:p>
        </w:tc>
        <w:tc>
          <w:tcPr>
            <w:tcW w:w="1626"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仁居镇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498"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w:t>
            </w:r>
          </w:p>
        </w:tc>
        <w:tc>
          <w:tcPr>
            <w:tcW w:w="1872"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石正客运站</w:t>
            </w:r>
          </w:p>
        </w:tc>
        <w:tc>
          <w:tcPr>
            <w:tcW w:w="2240"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公路客运</w:t>
            </w:r>
          </w:p>
        </w:tc>
        <w:tc>
          <w:tcPr>
            <w:tcW w:w="1585"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w:t>
            </w:r>
          </w:p>
        </w:tc>
        <w:tc>
          <w:tcPr>
            <w:tcW w:w="1503"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5000</w:t>
            </w:r>
          </w:p>
        </w:tc>
        <w:tc>
          <w:tcPr>
            <w:tcW w:w="1626" w:type="dxa"/>
            <w:vAlign w:val="center"/>
          </w:tcPr>
          <w:p>
            <w:pPr>
              <w:pStyle w:val="35"/>
              <w:snapToGrid w:val="0"/>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石正镇</w:t>
            </w:r>
          </w:p>
        </w:tc>
      </w:tr>
    </w:tbl>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（1）提升综合运输</w:t>
      </w:r>
      <w:bookmarkEnd w:id="32"/>
      <w:bookmarkEnd w:id="33"/>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服务水平</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以满足运输需求为导向，以提升服务水平为目标，充分发挥运输市场参与主体的积极性、主动性和创造性，不断提升综合运输服务水平，让人民群众在交通运输发展中有更多获得感。科学安排火车站、汽车站的公交接驳运力，优化运营时间和发车班次，畅通旅客出行“最先和最后一公里”；鼓励发展公铁等长途旅客联程联运，积极探索行李联程托运服务；加快培育承担综合运输业务的市场主体，支持运输企业通过多种形式联盟发展，推动实现客货运输“一票到底”。</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鼓励运输企业积极创新服务理念和手段，适应客运多样化和货运社会化需要。鼓励开展定制班车包车、专线专车等客运服务试点，提供多样化约车服务，支持客运企业发展O2O（线上虚拟+线下实体）运输等新型服务模式。</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34" w:name="_Toc6586"/>
      <w:bookmarkStart w:id="35" w:name="_Toc31644"/>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（2）提高农村运输服务水平</w:t>
      </w:r>
      <w:bookmarkEnd w:id="34"/>
      <w:bookmarkEnd w:id="35"/>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加快完善农村客运服务，有序提升农村客运站（亭）等级，采取灵活多样的客运组织形式及安全适用的车型，巩固提升建制村100%通客车成果；有条件的地区可对城市周边农村客运班线实施公交化改造，试点发展镇村公交。统筹利用农村客运资源，增加农村客运站物流和邮政服务功能。</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5.4.2货运枢纽（物流园区）布局</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1）货运枢纽主要承担地区货运的集散服务，提供物品运输、配送、仓储、流通加工等货运物流服务，选址一般应依托干线公路和铁路货运站。综合性物流园一般依托商贸中心、产业基地或重点工业园，为商贸企业、生产制造企业提供物流服务。根据平远县产业布局和综合交通网络规划，平远县货运枢纽（物流园区）规划为“三主两辅”布局，如表5-6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表5-6  平远县货运枢纽（物流园区）布局表</w:t>
      </w:r>
    </w:p>
    <w:tbl>
      <w:tblPr>
        <w:tblStyle w:val="22"/>
        <w:tblW w:w="9324"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1641"/>
        <w:gridCol w:w="668"/>
        <w:gridCol w:w="986"/>
        <w:gridCol w:w="4649"/>
        <w:gridCol w:w="99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82" w:type="dxa"/>
            <w:tcBorders>
              <w:top w:val="double" w:color="auto" w:sz="4" w:space="0"/>
              <w:bottom w:val="single" w:color="auto" w:sz="4" w:space="0"/>
            </w:tcBorders>
            <w:shd w:val="clear" w:color="auto" w:fill="DEEAF6" w:themeFill="accent1" w:themeFillTint="33"/>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rFonts w:hint="eastAsia"/>
                <w:color w:val="auto"/>
              </w:rPr>
              <w:t>编号</w:t>
            </w:r>
          </w:p>
        </w:tc>
        <w:tc>
          <w:tcPr>
            <w:tcW w:w="1641" w:type="dxa"/>
            <w:tcBorders>
              <w:top w:val="double" w:color="auto" w:sz="4" w:space="0"/>
              <w:bottom w:val="single" w:color="auto" w:sz="4" w:space="0"/>
            </w:tcBorders>
            <w:shd w:val="clear" w:color="auto" w:fill="DEEAF6" w:themeFill="accent1" w:themeFillTint="33"/>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rFonts w:hint="eastAsia"/>
                <w:color w:val="auto"/>
              </w:rPr>
              <w:t>名称</w:t>
            </w:r>
          </w:p>
        </w:tc>
        <w:tc>
          <w:tcPr>
            <w:tcW w:w="668" w:type="dxa"/>
            <w:tcBorders>
              <w:top w:val="double" w:color="auto" w:sz="4" w:space="0"/>
              <w:bottom w:val="single" w:color="auto" w:sz="4" w:space="0"/>
            </w:tcBorders>
            <w:shd w:val="clear" w:color="auto" w:fill="DEEAF6" w:themeFill="accent1" w:themeFillTint="33"/>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rFonts w:hint="eastAsia"/>
                <w:color w:val="auto"/>
              </w:rPr>
              <w:t>规模</w:t>
            </w:r>
          </w:p>
          <w:p>
            <w:pPr>
              <w:pStyle w:val="35"/>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rFonts w:hint="eastAsia"/>
                <w:color w:val="auto"/>
              </w:rPr>
              <w:t>（亩）</w:t>
            </w:r>
          </w:p>
        </w:tc>
        <w:tc>
          <w:tcPr>
            <w:tcW w:w="986" w:type="dxa"/>
            <w:tcBorders>
              <w:top w:val="double" w:color="auto" w:sz="4" w:space="0"/>
              <w:bottom w:val="single" w:color="auto" w:sz="4" w:space="0"/>
            </w:tcBorders>
            <w:shd w:val="clear" w:color="auto" w:fill="DEEAF6" w:themeFill="accent1" w:themeFillTint="33"/>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rFonts w:hint="eastAsia"/>
                <w:color w:val="auto"/>
              </w:rPr>
              <w:t>位置</w:t>
            </w:r>
          </w:p>
        </w:tc>
        <w:tc>
          <w:tcPr>
            <w:tcW w:w="4649" w:type="dxa"/>
            <w:tcBorders>
              <w:top w:val="double" w:color="auto" w:sz="4" w:space="0"/>
              <w:bottom w:val="single" w:color="auto" w:sz="4" w:space="0"/>
            </w:tcBorders>
            <w:shd w:val="clear" w:color="auto" w:fill="DEEAF6" w:themeFill="accent1" w:themeFillTint="33"/>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rFonts w:hint="eastAsia"/>
                <w:color w:val="auto"/>
              </w:rPr>
              <w:t>功能定位</w:t>
            </w:r>
          </w:p>
        </w:tc>
        <w:tc>
          <w:tcPr>
            <w:tcW w:w="998" w:type="dxa"/>
            <w:tcBorders>
              <w:top w:val="double" w:color="auto" w:sz="4" w:space="0"/>
              <w:bottom w:val="single" w:color="auto" w:sz="4" w:space="0"/>
            </w:tcBorders>
            <w:shd w:val="clear" w:color="auto" w:fill="DEEAF6" w:themeFill="accent1" w:themeFillTint="33"/>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00" w:lineRule="exact"/>
              <w:textAlignment w:val="auto"/>
              <w:rPr>
                <w:color w:val="auto"/>
              </w:rPr>
            </w:pPr>
            <w:r>
              <w:rPr>
                <w:rFonts w:hint="eastAsia"/>
                <w:color w:val="auto"/>
              </w:rPr>
              <w:t>主导运输方式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82"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1641"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瑞梅铁路平远货运站</w:t>
            </w:r>
          </w:p>
        </w:tc>
        <w:tc>
          <w:tcPr>
            <w:tcW w:w="668"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400</w:t>
            </w:r>
          </w:p>
        </w:tc>
        <w:tc>
          <w:tcPr>
            <w:tcW w:w="986"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大柘镇</w:t>
            </w:r>
          </w:p>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黄沙塘</w:t>
            </w:r>
          </w:p>
        </w:tc>
        <w:tc>
          <w:tcPr>
            <w:tcW w:w="4649"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rPr>
              <w:t>铁路货运站</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铁路货运站配套物流园</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多式联运物流园</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通用集散中心</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城市配送中心</w:t>
            </w:r>
            <w:r>
              <w:rPr>
                <w:rFonts w:hint="eastAsia" w:ascii="Nimbus Roman No9 L" w:hAnsi="Nimbus Roman No9 L" w:eastAsia="方正仿宋_GBK" w:cs="Nimbus Roman No9 L"/>
                <w:color w:val="auto"/>
                <w:lang w:eastAsia="zh-CN"/>
              </w:rPr>
              <w:t>。</w:t>
            </w:r>
          </w:p>
        </w:tc>
        <w:tc>
          <w:tcPr>
            <w:tcW w:w="998"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铁路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82"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w:t>
            </w:r>
          </w:p>
        </w:tc>
        <w:tc>
          <w:tcPr>
            <w:tcW w:w="1641"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平远综合</w:t>
            </w:r>
          </w:p>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物流园</w:t>
            </w:r>
          </w:p>
        </w:tc>
        <w:tc>
          <w:tcPr>
            <w:tcW w:w="668"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200</w:t>
            </w:r>
          </w:p>
        </w:tc>
        <w:tc>
          <w:tcPr>
            <w:tcW w:w="986"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大柘镇</w:t>
            </w:r>
          </w:p>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工业园</w:t>
            </w:r>
          </w:p>
        </w:tc>
        <w:tc>
          <w:tcPr>
            <w:tcW w:w="4649"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rPr>
              <w:t>综合性物流园区</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工业园配套物流中心</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通用集散中心</w:t>
            </w:r>
            <w:r>
              <w:rPr>
                <w:rFonts w:hint="eastAsia" w:ascii="Nimbus Roman No9 L" w:hAnsi="Nimbus Roman No9 L" w:eastAsia="方正仿宋_GBK" w:cs="Nimbus Roman No9 L"/>
                <w:color w:val="auto"/>
                <w:lang w:eastAsia="zh-CN"/>
              </w:rPr>
              <w:t>。</w:t>
            </w:r>
          </w:p>
        </w:tc>
        <w:tc>
          <w:tcPr>
            <w:tcW w:w="998"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82"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w:t>
            </w:r>
          </w:p>
        </w:tc>
        <w:tc>
          <w:tcPr>
            <w:tcW w:w="1641"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长田物流园</w:t>
            </w:r>
          </w:p>
        </w:tc>
        <w:tc>
          <w:tcPr>
            <w:tcW w:w="668"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100</w:t>
            </w:r>
          </w:p>
        </w:tc>
        <w:tc>
          <w:tcPr>
            <w:tcW w:w="986"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长田镇</w:t>
            </w:r>
          </w:p>
        </w:tc>
        <w:tc>
          <w:tcPr>
            <w:tcW w:w="4649"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rPr>
              <w:t>综合性物流园区</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工业园配套物流中心</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通用集散中心</w:t>
            </w:r>
            <w:r>
              <w:rPr>
                <w:rFonts w:hint="eastAsia" w:ascii="Nimbus Roman No9 L" w:hAnsi="Nimbus Roman No9 L" w:eastAsia="方正仿宋_GBK" w:cs="Nimbus Roman No9 L"/>
                <w:color w:val="auto"/>
                <w:lang w:eastAsia="zh-CN"/>
              </w:rPr>
              <w:t>。</w:t>
            </w:r>
          </w:p>
        </w:tc>
        <w:tc>
          <w:tcPr>
            <w:tcW w:w="998"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82"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w:t>
            </w:r>
          </w:p>
        </w:tc>
        <w:tc>
          <w:tcPr>
            <w:tcW w:w="1641"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八尺物流园</w:t>
            </w:r>
          </w:p>
        </w:tc>
        <w:tc>
          <w:tcPr>
            <w:tcW w:w="668"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100</w:t>
            </w:r>
          </w:p>
        </w:tc>
        <w:tc>
          <w:tcPr>
            <w:tcW w:w="986"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八尺镇</w:t>
            </w:r>
          </w:p>
        </w:tc>
        <w:tc>
          <w:tcPr>
            <w:tcW w:w="4649"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rPr>
              <w:t>通用集散中心</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冷链物流园、农产品物流园</w:t>
            </w:r>
            <w:r>
              <w:rPr>
                <w:rFonts w:hint="eastAsia" w:ascii="Nimbus Roman No9 L" w:hAnsi="Nimbus Roman No9 L" w:eastAsia="方正仿宋_GBK" w:cs="Nimbus Roman No9 L"/>
                <w:color w:val="auto"/>
                <w:lang w:eastAsia="zh-CN"/>
              </w:rPr>
              <w:t>。</w:t>
            </w:r>
          </w:p>
        </w:tc>
        <w:tc>
          <w:tcPr>
            <w:tcW w:w="998" w:type="dxa"/>
            <w:tcMar>
              <w:left w:w="0" w:type="dxa"/>
              <w:right w:w="0" w:type="dxa"/>
            </w:tcMar>
            <w:vAlign w:val="center"/>
          </w:tcPr>
          <w:p>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公路</w:t>
            </w:r>
          </w:p>
        </w:tc>
      </w:tr>
    </w:tbl>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（2）提升货运效率和服务水平</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依托瑞梅铁路，开展多式联运示范工程试点，推进多式联运设施建设，完善多式联运枢纽和站场设施。深入推广甩挂运输，促进“互联网+”与甩挂运输的深度融合，将甩挂运输作为货运物流业转型升级新引擎，建设以甩挂运输、多式联运为核心的互联互通、高效衔接的货运物流服务网络。</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优化客运班车小件快运系统，有序推进公路客运班车代运快件试点和快件甩挂运输方式。规范货运和配送车辆，保障配送车辆便利通行，建设城市共同配送体系。鼓励快递龙头企业整合社会配送运力资源，发展以互联网为平台、以新能源汽车为载体的新型城市配送新业态。</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lang w:eastAsia="zh-CN"/>
        </w:rPr>
      </w:pPr>
      <w:bookmarkStart w:id="36" w:name="_Toc8854"/>
      <w:r>
        <w:rPr>
          <w:rFonts w:hint="default" w:ascii="Nimbus Roman No9 L" w:hAnsi="Nimbus Roman No9 L" w:eastAsia="方正楷体_GBK" w:cs="Nimbus Roman No9 L"/>
          <w:b w:val="0"/>
          <w:bCs/>
          <w:color w:val="auto"/>
          <w:sz w:val="32"/>
          <w:szCs w:val="32"/>
        </w:rPr>
        <w:t>5.5国省干线发展规划布局</w:t>
      </w:r>
      <w:bookmarkEnd w:id="36"/>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平远县国省干线公路277.52公里，其中国道2条89.06公里，省道4条188.46公里。具体布局分布如表5-7所示、布局如图5-5所示。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表5-7  平远县国省干线公路布局方案表</w:t>
      </w:r>
    </w:p>
    <w:tbl>
      <w:tblPr>
        <w:tblStyle w:val="22"/>
        <w:tblW w:w="9554" w:type="dxa"/>
        <w:jc w:val="center"/>
        <w:tblInd w:w="0" w:type="dxa"/>
        <w:tblLayout w:type="fixed"/>
        <w:tblCellMar>
          <w:top w:w="0" w:type="dxa"/>
          <w:left w:w="108" w:type="dxa"/>
          <w:bottom w:w="0" w:type="dxa"/>
          <w:right w:w="108" w:type="dxa"/>
        </w:tblCellMar>
      </w:tblPr>
      <w:tblGrid>
        <w:gridCol w:w="683"/>
        <w:gridCol w:w="1338"/>
        <w:gridCol w:w="1562"/>
        <w:gridCol w:w="1144"/>
        <w:gridCol w:w="1252"/>
        <w:gridCol w:w="2806"/>
        <w:gridCol w:w="769"/>
      </w:tblGrid>
      <w:tr>
        <w:tblPrEx>
          <w:tblLayout w:type="fixed"/>
          <w:tblCellMar>
            <w:top w:w="0" w:type="dxa"/>
            <w:left w:w="108" w:type="dxa"/>
            <w:bottom w:w="0" w:type="dxa"/>
            <w:right w:w="108" w:type="dxa"/>
          </w:tblCellMar>
        </w:tblPrEx>
        <w:trPr>
          <w:trHeight w:val="668" w:hRule="atLeast"/>
          <w:jc w:val="center"/>
        </w:trPr>
        <w:tc>
          <w:tcPr>
            <w:tcW w:w="683"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jc w:val="center"/>
              <w:rPr>
                <w:color w:val="auto"/>
              </w:rPr>
            </w:pPr>
            <w:r>
              <w:rPr>
                <w:rFonts w:hint="eastAsia"/>
                <w:color w:val="auto"/>
              </w:rPr>
              <w:t>序号</w:t>
            </w:r>
          </w:p>
        </w:tc>
        <w:tc>
          <w:tcPr>
            <w:tcW w:w="1338"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jc w:val="center"/>
              <w:rPr>
                <w:rFonts w:hint="eastAsia" w:eastAsia="楷体"/>
                <w:color w:val="auto"/>
                <w:lang w:eastAsia="zh-CN"/>
              </w:rPr>
            </w:pPr>
            <w:r>
              <w:rPr>
                <w:rFonts w:hint="eastAsia"/>
                <w:color w:val="auto"/>
                <w:lang w:eastAsia="zh-CN"/>
              </w:rPr>
              <w:t>路线编号</w:t>
            </w:r>
          </w:p>
        </w:tc>
        <w:tc>
          <w:tcPr>
            <w:tcW w:w="1562"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jc w:val="center"/>
              <w:rPr>
                <w:color w:val="auto"/>
              </w:rPr>
            </w:pPr>
            <w:r>
              <w:rPr>
                <w:rFonts w:hint="eastAsia"/>
                <w:color w:val="auto"/>
                <w:lang w:eastAsia="zh-CN"/>
              </w:rPr>
              <w:t>路线</w:t>
            </w:r>
            <w:r>
              <w:rPr>
                <w:rFonts w:hint="eastAsia"/>
                <w:color w:val="auto"/>
              </w:rPr>
              <w:t>名称</w:t>
            </w:r>
          </w:p>
        </w:tc>
        <w:tc>
          <w:tcPr>
            <w:tcW w:w="1144"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jc w:val="center"/>
              <w:rPr>
                <w:rFonts w:hint="eastAsia"/>
                <w:color w:val="auto"/>
                <w:lang w:eastAsia="zh-CN"/>
              </w:rPr>
            </w:pPr>
            <w:r>
              <w:rPr>
                <w:rFonts w:hint="eastAsia"/>
                <w:color w:val="auto"/>
                <w:lang w:eastAsia="zh-CN"/>
              </w:rPr>
              <w:t>行政</w:t>
            </w:r>
          </w:p>
          <w:p>
            <w:pPr>
              <w:pStyle w:val="35"/>
              <w:jc w:val="center"/>
              <w:rPr>
                <w:rFonts w:hint="eastAsia" w:eastAsia="楷体"/>
                <w:color w:val="auto"/>
                <w:lang w:eastAsia="zh-CN"/>
              </w:rPr>
            </w:pPr>
            <w:r>
              <w:rPr>
                <w:rFonts w:hint="eastAsia"/>
                <w:color w:val="auto"/>
                <w:lang w:eastAsia="zh-CN"/>
              </w:rPr>
              <w:t>等级</w:t>
            </w:r>
          </w:p>
        </w:tc>
        <w:tc>
          <w:tcPr>
            <w:tcW w:w="1252"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jc w:val="center"/>
              <w:rPr>
                <w:rFonts w:hint="eastAsia"/>
                <w:color w:val="auto"/>
                <w:lang w:eastAsia="zh-CN"/>
              </w:rPr>
            </w:pPr>
            <w:r>
              <w:rPr>
                <w:rFonts w:hint="eastAsia"/>
                <w:color w:val="auto"/>
                <w:lang w:eastAsia="zh-CN"/>
              </w:rPr>
              <w:t>里程</w:t>
            </w:r>
          </w:p>
          <w:p>
            <w:pPr>
              <w:pStyle w:val="35"/>
              <w:jc w:val="center"/>
              <w:rPr>
                <w:rFonts w:hint="eastAsia" w:eastAsia="楷体"/>
                <w:color w:val="auto"/>
                <w:lang w:eastAsia="zh-CN"/>
              </w:rPr>
            </w:pPr>
            <w:r>
              <w:rPr>
                <w:rFonts w:hint="eastAsia"/>
                <w:color w:val="auto"/>
                <w:lang w:eastAsia="zh-CN"/>
              </w:rPr>
              <w:t>（公里）</w:t>
            </w:r>
          </w:p>
        </w:tc>
        <w:tc>
          <w:tcPr>
            <w:tcW w:w="2806"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jc w:val="center"/>
              <w:rPr>
                <w:rFonts w:hint="eastAsia"/>
                <w:color w:val="auto"/>
                <w:lang w:eastAsia="zh-CN"/>
              </w:rPr>
            </w:pPr>
            <w:r>
              <w:rPr>
                <w:rFonts w:hint="eastAsia"/>
                <w:color w:val="auto"/>
                <w:lang w:eastAsia="zh-CN"/>
              </w:rPr>
              <w:t>桩号</w:t>
            </w:r>
          </w:p>
        </w:tc>
        <w:tc>
          <w:tcPr>
            <w:tcW w:w="769"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jc w:val="center"/>
              <w:rPr>
                <w:rFonts w:hint="eastAsia" w:eastAsia="楷体"/>
                <w:color w:val="auto"/>
                <w:lang w:eastAsia="zh-CN"/>
              </w:rPr>
            </w:pPr>
            <w:r>
              <w:rPr>
                <w:rFonts w:hint="eastAsia"/>
                <w:color w:val="auto"/>
                <w:lang w:eastAsia="zh-CN"/>
              </w:rPr>
              <w:t>备注</w:t>
            </w:r>
          </w:p>
        </w:tc>
      </w:tr>
      <w:tr>
        <w:tblPrEx>
          <w:tblLayout w:type="fixed"/>
          <w:tblCellMar>
            <w:top w:w="0" w:type="dxa"/>
            <w:left w:w="108" w:type="dxa"/>
            <w:bottom w:w="0" w:type="dxa"/>
            <w:right w:w="108" w:type="dxa"/>
          </w:tblCellMar>
        </w:tblPrEx>
        <w:trPr>
          <w:trHeight w:val="397" w:hRule="atLeast"/>
          <w:jc w:val="center"/>
        </w:trPr>
        <w:tc>
          <w:tcPr>
            <w:tcW w:w="68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1338"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G206</w:t>
            </w:r>
          </w:p>
        </w:tc>
        <w:tc>
          <w:tcPr>
            <w:tcW w:w="156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val="en-US" w:eastAsia="zh-CN"/>
              </w:rPr>
              <w:t>威海</w:t>
            </w:r>
            <w:r>
              <w:rPr>
                <w:rFonts w:hint="eastAsia" w:ascii="Nimbus Roman No9 L" w:hAnsi="Nimbus Roman No9 L" w:eastAsia="方正仿宋_GBK" w:cs="Nimbus Roman No9 L"/>
                <w:color w:val="auto"/>
                <w:lang w:val="en-US" w:eastAsia="zh-CN"/>
              </w:rPr>
              <w:t>—</w:t>
            </w:r>
            <w:r>
              <w:rPr>
                <w:rFonts w:hint="default" w:ascii="Nimbus Roman No9 L" w:hAnsi="Nimbus Roman No9 L" w:eastAsia="方正仿宋_GBK" w:cs="Nimbus Roman No9 L"/>
                <w:color w:val="auto"/>
                <w:lang w:val="en-US" w:eastAsia="zh-CN"/>
              </w:rPr>
              <w:t>汕头</w:t>
            </w:r>
          </w:p>
        </w:tc>
        <w:tc>
          <w:tcPr>
            <w:tcW w:w="1144"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lang w:eastAsia="zh-CN"/>
              </w:rPr>
              <w:t>国道</w:t>
            </w:r>
          </w:p>
        </w:tc>
        <w:tc>
          <w:tcPr>
            <w:tcW w:w="125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51.6</w:t>
            </w:r>
          </w:p>
        </w:tc>
        <w:tc>
          <w:tcPr>
            <w:tcW w:w="280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b w:val="0"/>
                <w:bCs w:val="0"/>
                <w:color w:val="auto"/>
              </w:rPr>
            </w:pPr>
            <w:r>
              <w:rPr>
                <w:rFonts w:hint="default" w:ascii="Nimbus Roman No9 L" w:hAnsi="Nimbus Roman No9 L" w:eastAsia="方正仿宋_GBK" w:cs="Nimbus Roman No9 L"/>
                <w:b w:val="0"/>
                <w:bCs w:val="0"/>
                <w:color w:val="auto"/>
              </w:rPr>
              <w:t>K2144+865~K2196+465</w:t>
            </w:r>
          </w:p>
        </w:tc>
        <w:tc>
          <w:tcPr>
            <w:tcW w:w="769"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p>
        </w:tc>
      </w:tr>
      <w:tr>
        <w:tblPrEx>
          <w:tblLayout w:type="fixed"/>
          <w:tblCellMar>
            <w:top w:w="0" w:type="dxa"/>
            <w:left w:w="108" w:type="dxa"/>
            <w:bottom w:w="0" w:type="dxa"/>
            <w:right w:w="108" w:type="dxa"/>
          </w:tblCellMar>
        </w:tblPrEx>
        <w:trPr>
          <w:trHeight w:val="397" w:hRule="atLeast"/>
          <w:jc w:val="center"/>
        </w:trPr>
        <w:tc>
          <w:tcPr>
            <w:tcW w:w="68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w:t>
            </w:r>
          </w:p>
        </w:tc>
        <w:tc>
          <w:tcPr>
            <w:tcW w:w="1338"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G358</w:t>
            </w:r>
          </w:p>
        </w:tc>
        <w:tc>
          <w:tcPr>
            <w:tcW w:w="156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val="en-US" w:eastAsia="zh-CN"/>
              </w:rPr>
              <w:t>石狮</w:t>
            </w:r>
            <w:r>
              <w:rPr>
                <w:rFonts w:hint="eastAsia" w:ascii="Nimbus Roman No9 L" w:hAnsi="Nimbus Roman No9 L" w:eastAsia="方正仿宋_GBK" w:cs="Nimbus Roman No9 L"/>
                <w:color w:val="auto"/>
                <w:lang w:val="en-US" w:eastAsia="zh-CN"/>
              </w:rPr>
              <w:t>—</w:t>
            </w:r>
            <w:r>
              <w:rPr>
                <w:rFonts w:hint="default" w:ascii="Nimbus Roman No9 L" w:hAnsi="Nimbus Roman No9 L" w:eastAsia="方正仿宋_GBK" w:cs="Nimbus Roman No9 L"/>
                <w:color w:val="auto"/>
                <w:lang w:val="en-US" w:eastAsia="zh-CN"/>
              </w:rPr>
              <w:t>水口</w:t>
            </w:r>
          </w:p>
        </w:tc>
        <w:tc>
          <w:tcPr>
            <w:tcW w:w="1144"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lang w:eastAsia="zh-CN"/>
              </w:rPr>
              <w:t>国道</w:t>
            </w:r>
          </w:p>
        </w:tc>
        <w:tc>
          <w:tcPr>
            <w:tcW w:w="125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37.46</w:t>
            </w:r>
          </w:p>
        </w:tc>
        <w:tc>
          <w:tcPr>
            <w:tcW w:w="280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b w:val="0"/>
                <w:bCs w:val="0"/>
                <w:color w:val="auto"/>
              </w:rPr>
            </w:pPr>
            <w:r>
              <w:rPr>
                <w:rFonts w:hint="default" w:ascii="Nimbus Roman No9 L" w:hAnsi="Nimbus Roman No9 L" w:eastAsia="方正仿宋_GBK" w:cs="Nimbus Roman No9 L"/>
                <w:b w:val="0"/>
                <w:bCs w:val="0"/>
                <w:color w:val="auto"/>
              </w:rPr>
              <w:t>K470+547~K508+007</w:t>
            </w:r>
          </w:p>
        </w:tc>
        <w:tc>
          <w:tcPr>
            <w:tcW w:w="769"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p>
        </w:tc>
      </w:tr>
      <w:tr>
        <w:tblPrEx>
          <w:tblLayout w:type="fixed"/>
          <w:tblCellMar>
            <w:top w:w="0" w:type="dxa"/>
            <w:left w:w="108" w:type="dxa"/>
            <w:bottom w:w="0" w:type="dxa"/>
            <w:right w:w="108" w:type="dxa"/>
          </w:tblCellMar>
        </w:tblPrEx>
        <w:trPr>
          <w:trHeight w:val="397" w:hRule="atLeast"/>
          <w:jc w:val="center"/>
        </w:trPr>
        <w:tc>
          <w:tcPr>
            <w:tcW w:w="68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w:t>
            </w:r>
          </w:p>
        </w:tc>
        <w:tc>
          <w:tcPr>
            <w:tcW w:w="1338"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S</w:t>
            </w:r>
            <w:r>
              <w:rPr>
                <w:rFonts w:hint="default" w:ascii="Nimbus Roman No9 L" w:hAnsi="Nimbus Roman No9 L" w:eastAsia="方正仿宋_GBK" w:cs="Nimbus Roman No9 L"/>
                <w:color w:val="auto"/>
                <w:lang w:val="en-US" w:eastAsia="zh-CN"/>
              </w:rPr>
              <w:t>225</w:t>
            </w:r>
          </w:p>
        </w:tc>
        <w:tc>
          <w:tcPr>
            <w:tcW w:w="156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val="en-US" w:eastAsia="zh-CN"/>
              </w:rPr>
              <w:t>雁洋</w:t>
            </w:r>
            <w:r>
              <w:rPr>
                <w:rFonts w:hint="eastAsia" w:ascii="Nimbus Roman No9 L" w:hAnsi="Nimbus Roman No9 L" w:eastAsia="方正仿宋_GBK" w:cs="Nimbus Roman No9 L"/>
                <w:color w:val="auto"/>
                <w:lang w:val="en-US" w:eastAsia="zh-CN"/>
              </w:rPr>
              <w:t>—</w:t>
            </w:r>
            <w:r>
              <w:rPr>
                <w:rFonts w:hint="default" w:ascii="Nimbus Roman No9 L" w:hAnsi="Nimbus Roman No9 L" w:eastAsia="方正仿宋_GBK" w:cs="Nimbus Roman No9 L"/>
                <w:color w:val="auto"/>
                <w:lang w:val="en-US" w:eastAsia="zh-CN"/>
              </w:rPr>
              <w:t>水口</w:t>
            </w:r>
          </w:p>
        </w:tc>
        <w:tc>
          <w:tcPr>
            <w:tcW w:w="1144"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lang w:eastAsia="zh-CN"/>
              </w:rPr>
              <w:t>省道</w:t>
            </w:r>
          </w:p>
        </w:tc>
        <w:tc>
          <w:tcPr>
            <w:tcW w:w="125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39.02</w:t>
            </w:r>
          </w:p>
        </w:tc>
        <w:tc>
          <w:tcPr>
            <w:tcW w:w="280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b w:val="0"/>
                <w:bCs w:val="0"/>
                <w:color w:val="auto"/>
              </w:rPr>
            </w:pPr>
            <w:r>
              <w:rPr>
                <w:rFonts w:hint="default" w:ascii="Nimbus Roman No9 L" w:hAnsi="Nimbus Roman No9 L" w:eastAsia="方正仿宋_GBK" w:cs="Nimbus Roman No9 L"/>
                <w:b w:val="0"/>
                <w:bCs w:val="0"/>
                <w:color w:val="auto"/>
              </w:rPr>
              <w:t>K43+250~K82+271</w:t>
            </w:r>
          </w:p>
        </w:tc>
        <w:tc>
          <w:tcPr>
            <w:tcW w:w="769"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p>
        </w:tc>
      </w:tr>
      <w:tr>
        <w:tblPrEx>
          <w:tblLayout w:type="fixed"/>
          <w:tblCellMar>
            <w:top w:w="0" w:type="dxa"/>
            <w:left w:w="108" w:type="dxa"/>
            <w:bottom w:w="0" w:type="dxa"/>
            <w:right w:w="108" w:type="dxa"/>
          </w:tblCellMar>
        </w:tblPrEx>
        <w:trPr>
          <w:trHeight w:val="397" w:hRule="atLeast"/>
          <w:jc w:val="center"/>
        </w:trPr>
        <w:tc>
          <w:tcPr>
            <w:tcW w:w="68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w:t>
            </w:r>
          </w:p>
        </w:tc>
        <w:tc>
          <w:tcPr>
            <w:tcW w:w="1338"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S</w:t>
            </w:r>
            <w:r>
              <w:rPr>
                <w:rFonts w:hint="default" w:ascii="Nimbus Roman No9 L" w:hAnsi="Nimbus Roman No9 L" w:eastAsia="方正仿宋_GBK" w:cs="Nimbus Roman No9 L"/>
                <w:color w:val="auto"/>
                <w:lang w:val="en-US" w:eastAsia="zh-CN"/>
              </w:rPr>
              <w:t>332</w:t>
            </w:r>
          </w:p>
        </w:tc>
        <w:tc>
          <w:tcPr>
            <w:tcW w:w="156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val="en-US" w:eastAsia="zh-CN"/>
              </w:rPr>
              <w:t>长治</w:t>
            </w:r>
            <w:r>
              <w:rPr>
                <w:rFonts w:hint="eastAsia" w:ascii="Nimbus Roman No9 L" w:hAnsi="Nimbus Roman No9 L" w:eastAsia="方正仿宋_GBK" w:cs="Nimbus Roman No9 L"/>
                <w:color w:val="auto"/>
                <w:lang w:val="en-US" w:eastAsia="zh-CN"/>
              </w:rPr>
              <w:t>—</w:t>
            </w:r>
            <w:r>
              <w:rPr>
                <w:rFonts w:hint="default" w:ascii="Nimbus Roman No9 L" w:hAnsi="Nimbus Roman No9 L" w:eastAsia="方正仿宋_GBK" w:cs="Nimbus Roman No9 L"/>
                <w:color w:val="auto"/>
                <w:lang w:val="en-US" w:eastAsia="zh-CN"/>
              </w:rPr>
              <w:t>平远</w:t>
            </w:r>
          </w:p>
        </w:tc>
        <w:tc>
          <w:tcPr>
            <w:tcW w:w="1144"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lang w:eastAsia="zh-CN"/>
              </w:rPr>
              <w:t>省道</w:t>
            </w:r>
          </w:p>
        </w:tc>
        <w:tc>
          <w:tcPr>
            <w:tcW w:w="125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33.85</w:t>
            </w:r>
          </w:p>
        </w:tc>
        <w:tc>
          <w:tcPr>
            <w:tcW w:w="280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b w:val="0"/>
                <w:bCs w:val="0"/>
                <w:color w:val="auto"/>
              </w:rPr>
            </w:pPr>
            <w:r>
              <w:rPr>
                <w:rFonts w:hint="default" w:ascii="Nimbus Roman No9 L" w:hAnsi="Nimbus Roman No9 L" w:eastAsia="方正仿宋_GBK" w:cs="Nimbus Roman No9 L"/>
                <w:b w:val="0"/>
                <w:bCs w:val="0"/>
                <w:color w:val="auto"/>
              </w:rPr>
              <w:t>K119+392~K153+242</w:t>
            </w:r>
          </w:p>
        </w:tc>
        <w:tc>
          <w:tcPr>
            <w:tcW w:w="769"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p>
        </w:tc>
      </w:tr>
      <w:tr>
        <w:tblPrEx>
          <w:tblLayout w:type="fixed"/>
          <w:tblCellMar>
            <w:top w:w="0" w:type="dxa"/>
            <w:left w:w="108" w:type="dxa"/>
            <w:bottom w:w="0" w:type="dxa"/>
            <w:right w:w="108" w:type="dxa"/>
          </w:tblCellMar>
        </w:tblPrEx>
        <w:trPr>
          <w:trHeight w:val="397" w:hRule="atLeast"/>
          <w:jc w:val="center"/>
        </w:trPr>
        <w:tc>
          <w:tcPr>
            <w:tcW w:w="68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w:t>
            </w:r>
          </w:p>
        </w:tc>
        <w:tc>
          <w:tcPr>
            <w:tcW w:w="1338"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S334</w:t>
            </w:r>
          </w:p>
        </w:tc>
        <w:tc>
          <w:tcPr>
            <w:tcW w:w="156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val="en-US" w:eastAsia="zh-CN"/>
              </w:rPr>
              <w:t>松源</w:t>
            </w:r>
            <w:r>
              <w:rPr>
                <w:rFonts w:hint="eastAsia" w:ascii="Nimbus Roman No9 L" w:hAnsi="Nimbus Roman No9 L" w:eastAsia="方正仿宋_GBK" w:cs="Nimbus Roman No9 L"/>
                <w:color w:val="auto"/>
                <w:lang w:val="en-US" w:eastAsia="zh-CN"/>
              </w:rPr>
              <w:t>—</w:t>
            </w:r>
            <w:r>
              <w:rPr>
                <w:rFonts w:hint="default" w:ascii="Nimbus Roman No9 L" w:hAnsi="Nimbus Roman No9 L" w:eastAsia="方正仿宋_GBK" w:cs="Nimbus Roman No9 L"/>
                <w:color w:val="auto"/>
                <w:lang w:val="en-US" w:eastAsia="zh-CN"/>
              </w:rPr>
              <w:t>仁居</w:t>
            </w:r>
          </w:p>
        </w:tc>
        <w:tc>
          <w:tcPr>
            <w:tcW w:w="1144"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lang w:eastAsia="zh-CN"/>
              </w:rPr>
              <w:t>省道</w:t>
            </w:r>
          </w:p>
        </w:tc>
        <w:tc>
          <w:tcPr>
            <w:tcW w:w="125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47.52</w:t>
            </w:r>
          </w:p>
        </w:tc>
        <w:tc>
          <w:tcPr>
            <w:tcW w:w="280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b w:val="0"/>
                <w:bCs w:val="0"/>
                <w:color w:val="auto"/>
              </w:rPr>
            </w:pPr>
            <w:r>
              <w:rPr>
                <w:rFonts w:hint="default" w:ascii="Nimbus Roman No9 L" w:hAnsi="Nimbus Roman No9 L" w:eastAsia="方正仿宋_GBK" w:cs="Nimbus Roman No9 L"/>
                <w:b w:val="0"/>
                <w:bCs w:val="0"/>
                <w:color w:val="auto"/>
              </w:rPr>
              <w:t>K74+876~K122+392</w:t>
            </w:r>
          </w:p>
        </w:tc>
        <w:tc>
          <w:tcPr>
            <w:tcW w:w="769"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p>
        </w:tc>
      </w:tr>
      <w:tr>
        <w:tblPrEx>
          <w:tblLayout w:type="fixed"/>
          <w:tblCellMar>
            <w:top w:w="0" w:type="dxa"/>
            <w:left w:w="108" w:type="dxa"/>
            <w:bottom w:w="0" w:type="dxa"/>
            <w:right w:w="108" w:type="dxa"/>
          </w:tblCellMar>
        </w:tblPrEx>
        <w:trPr>
          <w:trHeight w:val="397" w:hRule="atLeast"/>
          <w:jc w:val="center"/>
        </w:trPr>
        <w:tc>
          <w:tcPr>
            <w:tcW w:w="683"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w:t>
            </w:r>
          </w:p>
        </w:tc>
        <w:tc>
          <w:tcPr>
            <w:tcW w:w="1338"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S239</w:t>
            </w:r>
          </w:p>
        </w:tc>
        <w:tc>
          <w:tcPr>
            <w:tcW w:w="156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val="en-US" w:eastAsia="zh-CN"/>
              </w:rPr>
              <w:t>湍溪</w:t>
            </w:r>
            <w:r>
              <w:rPr>
                <w:rFonts w:hint="eastAsia" w:ascii="Nimbus Roman No9 L" w:hAnsi="Nimbus Roman No9 L" w:eastAsia="方正仿宋_GBK" w:cs="Nimbus Roman No9 L"/>
                <w:color w:val="auto"/>
                <w:lang w:val="en-US" w:eastAsia="zh-CN"/>
              </w:rPr>
              <w:t>—</w:t>
            </w:r>
            <w:r>
              <w:rPr>
                <w:rFonts w:hint="default" w:ascii="Nimbus Roman No9 L" w:hAnsi="Nimbus Roman No9 L" w:eastAsia="方正仿宋_GBK" w:cs="Nimbus Roman No9 L"/>
                <w:color w:val="auto"/>
                <w:lang w:val="en-US" w:eastAsia="zh-CN"/>
              </w:rPr>
              <w:t>金和</w:t>
            </w:r>
          </w:p>
        </w:tc>
        <w:tc>
          <w:tcPr>
            <w:tcW w:w="1144"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lang w:eastAsia="zh-CN"/>
              </w:rPr>
              <w:t>省道</w:t>
            </w:r>
          </w:p>
        </w:tc>
        <w:tc>
          <w:tcPr>
            <w:tcW w:w="1252"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68.07</w:t>
            </w:r>
          </w:p>
        </w:tc>
        <w:tc>
          <w:tcPr>
            <w:tcW w:w="280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b w:val="0"/>
                <w:bCs w:val="0"/>
                <w:color w:val="auto"/>
              </w:rPr>
            </w:pPr>
            <w:r>
              <w:rPr>
                <w:rFonts w:hint="default" w:ascii="Nimbus Roman No9 L" w:hAnsi="Nimbus Roman No9 L" w:eastAsia="方正仿宋_GBK" w:cs="Nimbus Roman No9 L"/>
                <w:b w:val="0"/>
                <w:bCs w:val="0"/>
                <w:color w:val="auto"/>
              </w:rPr>
              <w:t>K0+000~K68+072</w:t>
            </w:r>
          </w:p>
        </w:tc>
        <w:tc>
          <w:tcPr>
            <w:tcW w:w="769"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Nimbus Roman No9 L" w:hAnsi="Nimbus Roman No9 L" w:eastAsia="方正仿宋_GBK" w:cs="Nimbus Roman No9 L"/>
                <w:color w:val="auto"/>
              </w:rPr>
            </w:pPr>
          </w:p>
        </w:tc>
      </w:tr>
    </w:tbl>
    <w:p>
      <w:pPr>
        <w:keepNext w:val="0"/>
        <w:keepLines w:val="0"/>
        <w:pageBreakBefore w:val="0"/>
        <w:widowControl w:val="0"/>
        <w:kinsoku/>
        <w:wordWrap/>
        <w:overflowPunct/>
        <w:topLinePunct w:val="0"/>
        <w:autoSpaceDE/>
        <w:autoSpaceDN/>
        <w:bidi w:val="0"/>
        <w:adjustRightInd/>
        <w:snapToGrid/>
        <w:spacing w:line="40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p>
    <w:p>
      <w:pPr>
        <w:pStyle w:val="26"/>
        <w:rPr>
          <w:color w:val="auto"/>
        </w:rPr>
      </w:pPr>
      <w:r>
        <w:rPr>
          <w:color w:val="auto"/>
        </w:rPr>
        <w:drawing>
          <wp:inline distT="0" distB="0" distL="114300" distR="114300">
            <wp:extent cx="3684270" cy="4909820"/>
            <wp:effectExtent l="0" t="0" r="11430" b="5080"/>
            <wp:docPr id="18"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
                    <pic:cNvPicPr>
                      <a:picLocks noChangeAspect="1"/>
                    </pic:cNvPicPr>
                  </pic:nvPicPr>
                  <pic:blipFill>
                    <a:blip r:embed="rId20"/>
                    <a:srcRect l="3337" t="8365" r="3120" b="3481"/>
                    <a:stretch>
                      <a:fillRect/>
                    </a:stretch>
                  </pic:blipFill>
                  <pic:spPr>
                    <a:xfrm>
                      <a:off x="0" y="0"/>
                      <a:ext cx="3684270" cy="4909820"/>
                    </a:xfrm>
                    <a:prstGeom prst="rect">
                      <a:avLst/>
                    </a:prstGeom>
                  </pic:spPr>
                </pic:pic>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图5-5  “十四五”平远县国省干线网络布局图</w:t>
      </w:r>
    </w:p>
    <w:p>
      <w:pPr>
        <w:pStyle w:val="4"/>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37" w:name="_Toc9647"/>
      <w:r>
        <w:rPr>
          <w:rFonts w:hint="eastAsia" w:ascii="Nimbus Roman No9 L" w:hAnsi="Nimbus Roman No9 L" w:eastAsia="方正楷体_GBK" w:cs="Nimbus Roman No9 L"/>
          <w:b w:val="0"/>
          <w:bCs/>
          <w:color w:val="auto"/>
          <w:sz w:val="32"/>
          <w:szCs w:val="32"/>
        </w:rPr>
        <w:t>5.6农村公路发展规划布局</w:t>
      </w:r>
      <w:bookmarkEnd w:id="37"/>
    </w:p>
    <w:p>
      <w:pPr>
        <w:keepLines w:val="0"/>
        <w:pageBreakBefore w:val="0"/>
        <w:widowControl w:val="0"/>
        <w:kinsoku/>
        <w:wordWrap/>
        <w:overflowPunct/>
        <w:topLinePunct w:val="0"/>
        <w:autoSpaceDE/>
        <w:autoSpaceDN/>
        <w:bidi w:val="0"/>
        <w:adjustRightInd/>
        <w:snapToGrid/>
        <w:spacing w:line="52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按照“建好、管好、护好、运营好”的要求，全面推进平远县“四好农村路”规划建设，实现县域农村公路由“线”到“网”、由“窄”变“宽”、由“通”向“好”协调发展，着力改造县道、优化乡道、提升村道、建设品质路，形成“等级更适当、标准更合理、结构更优化、干支更匹配”的农村公路网络，消除制约农村发展的交通瓶颈，助推乡村振兴发展。</w:t>
      </w:r>
    </w:p>
    <w:p>
      <w:pPr>
        <w:keepLines w:val="0"/>
        <w:pageBreakBefore w:val="0"/>
        <w:widowControl w:val="0"/>
        <w:kinsoku/>
        <w:wordWrap/>
        <w:overflowPunct/>
        <w:topLinePunct w:val="0"/>
        <w:autoSpaceDE/>
        <w:autoSpaceDN/>
        <w:bidi w:val="0"/>
        <w:adjustRightInd/>
        <w:snapToGrid/>
        <w:spacing w:line="52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力争至2025年，争创“四好农村路”省级和国家级示范县，实现镇通行政村公路通“双车道”，100人以上自然村通硬底化道路。平远县“四好农村路”主要由县道（县内干线）和乡村公路组成。</w:t>
      </w:r>
    </w:p>
    <w:p>
      <w:pPr>
        <w:pStyle w:val="26"/>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drawing>
          <wp:inline distT="0" distB="0" distL="114300" distR="114300">
            <wp:extent cx="3062605" cy="4082415"/>
            <wp:effectExtent l="0" t="0" r="4445" b="13335"/>
            <wp:docPr id="20" name="图片 20" descr="D:\2022年项目\2022广东平远十四五交通规划\0325修改稿\平远V15\10-1.jp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2022年项目\2022广东平远十四五交通规划\0325修改稿\平远V15\10-1.jpg10-1"/>
                    <pic:cNvPicPr>
                      <a:picLocks noChangeAspect="1"/>
                    </pic:cNvPicPr>
                  </pic:nvPicPr>
                  <pic:blipFill>
                    <a:blip r:embed="rId21"/>
                    <a:srcRect/>
                    <a:stretch>
                      <a:fillRect/>
                    </a:stretch>
                  </pic:blipFill>
                  <pic:spPr>
                    <a:xfrm>
                      <a:off x="0" y="0"/>
                      <a:ext cx="3062605" cy="4082415"/>
                    </a:xfrm>
                    <a:prstGeom prst="rect">
                      <a:avLst/>
                    </a:prstGeom>
                  </pic:spPr>
                </pic:pic>
              </a:graphicData>
            </a:graphic>
          </wp:inline>
        </w:drawing>
      </w:r>
    </w:p>
    <w:p>
      <w:pPr>
        <w:pStyle w:val="26"/>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图5-6  “十四五”平远县农村路网规划图</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5.6.1县道网规划</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根据《梅州市人民政府关于同意平远县县道网规划调整方案的批复》（梅市府函〔2021〕316号），规划调整方案批复在保留既有县道8条73.838公里的基础上，新升级县道21条（含既有县道8条延长线），新增里程273.596公里。</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表5-8  平远县县道网规划</w:t>
      </w:r>
    </w:p>
    <w:tbl>
      <w:tblPr>
        <w:tblStyle w:val="22"/>
        <w:tblW w:w="8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746"/>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color w:val="auto"/>
              </w:rPr>
            </w:pPr>
            <w:r>
              <w:rPr>
                <w:rFonts w:hint="eastAsia"/>
                <w:color w:val="auto"/>
              </w:rPr>
              <w:t>序号</w:t>
            </w:r>
          </w:p>
        </w:tc>
        <w:tc>
          <w:tcPr>
            <w:tcW w:w="4746" w:type="dxa"/>
            <w:shd w:val="clear" w:color="000000"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color w:val="auto"/>
              </w:rPr>
            </w:pPr>
            <w:r>
              <w:rPr>
                <w:rFonts w:hint="eastAsia"/>
                <w:color w:val="auto"/>
              </w:rPr>
              <w:t>路线名称</w:t>
            </w:r>
          </w:p>
        </w:tc>
        <w:tc>
          <w:tcPr>
            <w:tcW w:w="2789" w:type="dxa"/>
            <w:shd w:val="clear" w:color="000000" w:fill="DEEBF6" w:themeFill="accent1" w:themeFillTint="32"/>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color w:val="auto"/>
              </w:rPr>
            </w:pPr>
            <w:r>
              <w:rPr>
                <w:rFonts w:hint="eastAsia"/>
                <w:color w:val="auto"/>
              </w:rPr>
              <w:t>里程（公里）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780" w:type="dxa"/>
            <w:gridSpan w:val="3"/>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eastAsia="楷体"/>
                <w:color w:val="auto"/>
                <w:lang w:eastAsia="zh-CN"/>
              </w:rPr>
            </w:pPr>
            <w:r>
              <w:rPr>
                <w:rFonts w:hint="default" w:ascii="Nimbus Roman No9 L" w:hAnsi="Nimbus Roman No9 L" w:cs="Nimbus Roman No9 L"/>
                <w:color w:val="auto"/>
              </w:rPr>
              <w:t>一、县道</w:t>
            </w:r>
            <w:r>
              <w:rPr>
                <w:rFonts w:hint="default" w:ascii="Nimbus Roman No9 L" w:hAnsi="Nimbus Roman No9 L" w:cs="Nimbus Roman No9 L"/>
                <w:color w:val="auto"/>
                <w:lang w:eastAsia="zh-CN"/>
              </w:rPr>
              <w:t>网里程</w:t>
            </w:r>
            <w:r>
              <w:rPr>
                <w:rFonts w:hint="default" w:ascii="Nimbus Roman No9 L" w:hAnsi="Nimbus Roman No9 L" w:cs="Nimbus Roman No9 L"/>
                <w:color w:val="auto"/>
              </w:rPr>
              <w:t>347.</w:t>
            </w:r>
            <w:r>
              <w:rPr>
                <w:rFonts w:hint="default" w:ascii="Nimbus Roman No9 L" w:hAnsi="Nimbus Roman No9 L" w:cs="Nimbus Roman No9 L"/>
                <w:color w:val="auto"/>
                <w:lang w:val="en-US" w:eastAsia="zh-CN"/>
              </w:rPr>
              <w:t>434</w:t>
            </w:r>
            <w:r>
              <w:rPr>
                <w:rFonts w:hint="default" w:ascii="Nimbus Roman No9 L" w:hAnsi="Nimbus Roman No9 L" w:cs="Nimbus Roman No9 L"/>
                <w:color w:val="auto"/>
                <w:lang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X808上坊至塔子里</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2</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X809湖洋至双门石</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3</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X039大柘至中村</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4</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X042中行至超南</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32.493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5</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X040赤肥线</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15.4</w:t>
            </w:r>
            <w:r>
              <w:rPr>
                <w:rFonts w:hint="default" w:ascii="Nimbus Roman No9 L" w:hAnsi="Nimbus Roman No9 L" w:eastAsia="方正仿宋_GBK" w:cs="Nimbus Roman No9 L"/>
                <w:color w:val="auto"/>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6</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X041快黄线</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lang w:val="en-US" w:eastAsia="zh-CN"/>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7</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X017热水至城北</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8</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X038汶水至湍溪</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38.0</w:t>
            </w:r>
            <w:r>
              <w:rPr>
                <w:rFonts w:hint="default" w:ascii="Nimbus Roman No9 L" w:hAnsi="Nimbus Roman No9 L" w:eastAsia="方正仿宋_GBK" w:cs="Nimbus Roman No9 L"/>
                <w:color w:val="auto"/>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9</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X811东石至八尺</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25.108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10</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X812八尺至排下</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11</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highlight w:val="yellow"/>
              </w:rPr>
            </w:pPr>
            <w:r>
              <w:rPr>
                <w:rFonts w:hint="default" w:ascii="Nimbus Roman No9 L" w:hAnsi="Nimbus Roman No9 L" w:eastAsia="方正仿宋_GBK" w:cs="Nimbus Roman No9 L"/>
                <w:color w:val="auto"/>
              </w:rPr>
              <w:t>X810符坑至枧头</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21.8</w:t>
            </w:r>
            <w:r>
              <w:rPr>
                <w:rFonts w:hint="default" w:ascii="Nimbus Roman No9 L" w:hAnsi="Nimbus Roman No9 L" w:eastAsia="方正仿宋_GBK" w:cs="Nimbus Roman No9 L"/>
                <w:color w:val="auto"/>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12</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X948大柘至罗浮</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10.647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13</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X966吾均线</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7.</w:t>
            </w:r>
            <w:r>
              <w:rPr>
                <w:rFonts w:hint="default" w:ascii="Nimbus Roman No9 L" w:hAnsi="Nimbus Roman No9 L" w:eastAsia="方正仿宋_GBK" w:cs="Nimbus Roman No9 L"/>
                <w:color w:val="auto"/>
                <w:lang w:val="en-US"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14</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X020梅西至富石</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lang w:val="en-US" w:eastAsia="zh-CN"/>
              </w:rPr>
              <w:t>14.199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15</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X034长田至石角</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10.961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16</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X959大蕉线</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7.4</w:t>
            </w:r>
            <w:r>
              <w:rPr>
                <w:rFonts w:hint="default" w:ascii="Nimbus Roman No9 L" w:hAnsi="Nimbus Roman No9 L" w:eastAsia="方正仿宋_GBK" w:cs="Nimbus Roman No9 L"/>
                <w:color w:val="auto"/>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17</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X032贤关至永福</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14.</w:t>
            </w:r>
            <w:r>
              <w:rPr>
                <w:rFonts w:hint="default" w:ascii="Nimbus Roman No9 L" w:hAnsi="Nimbus Roman No9 L" w:eastAsia="方正仿宋_GBK" w:cs="Nimbus Roman No9 L"/>
                <w:color w:val="auto"/>
                <w:lang w:val="en-US" w:eastAsia="zh-CN"/>
              </w:rPr>
              <w:t>1</w:t>
            </w:r>
            <w:r>
              <w:rPr>
                <w:rFonts w:hint="default" w:ascii="Nimbus Roman No9 L" w:hAnsi="Nimbus Roman No9 L" w:eastAsia="方正仿宋_GBK" w:cs="Nimbus Roman No9 L"/>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18</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X813八尺至黄石</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19</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X013大神坝至大新</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9.806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20</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X965天褒楼至麻楼</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37.185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kern w:val="0"/>
                <w:sz w:val="24"/>
                <w:szCs w:val="24"/>
                <w:lang w:bidi="ar"/>
              </w:rPr>
              <w:t>21</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X046黄槐至马赤</w:t>
            </w:r>
          </w:p>
        </w:tc>
        <w:tc>
          <w:tcPr>
            <w:tcW w:w="278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21.975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780" w:type="dxa"/>
            <w:gridSpan w:val="3"/>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eastAsia="楷体"/>
                <w:color w:val="auto"/>
                <w:lang w:eastAsia="zh-CN"/>
              </w:rPr>
            </w:pPr>
            <w:r>
              <w:rPr>
                <w:rFonts w:hint="default" w:ascii="Nimbus Roman No9 L" w:hAnsi="Nimbus Roman No9 L" w:cs="Nimbus Roman No9 L"/>
                <w:color w:val="auto"/>
              </w:rPr>
              <w:t>二、既有县道</w:t>
            </w:r>
            <w:r>
              <w:rPr>
                <w:rFonts w:hint="default" w:ascii="Nimbus Roman No9 L" w:hAnsi="Nimbus Roman No9 L" w:cs="Nimbus Roman No9 L"/>
                <w:color w:val="auto"/>
                <w:lang w:eastAsia="zh-CN"/>
              </w:rPr>
              <w:t>里程</w:t>
            </w:r>
            <w:r>
              <w:rPr>
                <w:rFonts w:hint="default" w:ascii="Nimbus Roman No9 L" w:hAnsi="Nimbus Roman No9 L" w:cs="Nimbus Roman No9 L"/>
                <w:color w:val="auto"/>
                <w:lang w:val="en-US" w:eastAsia="zh-CN"/>
              </w:rPr>
              <w:t>73.838</w:t>
            </w:r>
            <w:r>
              <w:rPr>
                <w:rFonts w:hint="default" w:ascii="Nimbus Roman No9 L" w:hAnsi="Nimbus Roman No9 L" w:cs="Nimbus Roman No9 L"/>
                <w:color w:val="auto"/>
                <w:lang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X020</w:t>
            </w:r>
          </w:p>
        </w:tc>
        <w:tc>
          <w:tcPr>
            <w:tcW w:w="2789" w:type="dxa"/>
            <w:shd w:val="clear" w:color="000000" w:fill="FFFFFF"/>
          </w:tcPr>
          <w:p>
            <w:pPr>
              <w:pStyle w:val="35"/>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lang w:val="en-US" w:eastAsia="zh-CN"/>
              </w:rPr>
              <w:t>4.855</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升级后</w:t>
            </w:r>
            <w:r>
              <w:rPr>
                <w:rFonts w:hint="default" w:ascii="Nimbus Roman No9 L" w:hAnsi="Nimbus Roman No9 L" w:eastAsia="方正仿宋_GBK" w:cs="Nimbus Roman No9 L"/>
                <w:color w:val="auto"/>
                <w:lang w:val="en-US" w:eastAsia="zh-CN"/>
              </w:rPr>
              <w:t>14.199</w:t>
            </w:r>
            <w:r>
              <w:rPr>
                <w:rFonts w:hint="eastAsia" w:ascii="Nimbus Roman No9 L" w:hAnsi="Nimbus Roman No9 L" w:eastAsia="方正仿宋_GBK" w:cs="Nimbus Roman No9 L"/>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X038</w:t>
            </w:r>
          </w:p>
        </w:tc>
        <w:tc>
          <w:tcPr>
            <w:tcW w:w="2789" w:type="dxa"/>
            <w:shd w:val="clear" w:color="000000" w:fill="FFFFFF"/>
          </w:tcPr>
          <w:p>
            <w:pPr>
              <w:pStyle w:val="35"/>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14.</w:t>
            </w:r>
            <w:r>
              <w:rPr>
                <w:rFonts w:hint="default" w:ascii="Nimbus Roman No9 L" w:hAnsi="Nimbus Roman No9 L" w:eastAsia="方正仿宋_GBK" w:cs="Nimbus Roman No9 L"/>
                <w:color w:val="auto"/>
                <w:lang w:val="en-US" w:eastAsia="zh-CN"/>
              </w:rPr>
              <w:t>319</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升级后38.0</w:t>
            </w:r>
            <w:r>
              <w:rPr>
                <w:rFonts w:hint="default" w:ascii="Nimbus Roman No9 L" w:hAnsi="Nimbus Roman No9 L" w:eastAsia="方正仿宋_GBK" w:cs="Nimbus Roman No9 L"/>
                <w:color w:val="auto"/>
                <w:lang w:val="en-US" w:eastAsia="zh-CN"/>
              </w:rPr>
              <w:t>41</w:t>
            </w:r>
            <w:r>
              <w:rPr>
                <w:rFonts w:hint="eastAsia" w:ascii="Nimbus Roman No9 L" w:hAnsi="Nimbus Roman No9 L" w:eastAsia="方正仿宋_GBK" w:cs="Nimbus Roman No9 L"/>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X040</w:t>
            </w:r>
          </w:p>
        </w:tc>
        <w:tc>
          <w:tcPr>
            <w:tcW w:w="2789" w:type="dxa"/>
            <w:shd w:val="clear" w:color="000000" w:fill="FFFFFF"/>
          </w:tcPr>
          <w:p>
            <w:pPr>
              <w:pStyle w:val="35"/>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15.4</w:t>
            </w:r>
            <w:r>
              <w:rPr>
                <w:rFonts w:hint="default" w:ascii="Nimbus Roman No9 L" w:hAnsi="Nimbus Roman No9 L" w:eastAsia="方正仿宋_GBK" w:cs="Nimbus Roman No9 L"/>
                <w:color w:val="auto"/>
                <w:lang w:val="en-US" w:eastAsia="zh-CN"/>
              </w:rPr>
              <w:t>36</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不变</w:t>
            </w:r>
            <w:r>
              <w:rPr>
                <w:rFonts w:hint="eastAsia" w:ascii="Nimbus Roman No9 L" w:hAnsi="Nimbus Roman No9 L" w:eastAsia="方正仿宋_GBK" w:cs="Nimbus Roman No9 L"/>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X041</w:t>
            </w:r>
          </w:p>
        </w:tc>
        <w:tc>
          <w:tcPr>
            <w:tcW w:w="2789" w:type="dxa"/>
            <w:shd w:val="clear" w:color="000000" w:fill="FFFFFF"/>
          </w:tcPr>
          <w:p>
            <w:pPr>
              <w:pStyle w:val="35"/>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rPr>
              <w:t>6.</w:t>
            </w:r>
            <w:r>
              <w:rPr>
                <w:rFonts w:hint="default" w:ascii="Nimbus Roman No9 L" w:hAnsi="Nimbus Roman No9 L" w:eastAsia="方正仿宋_GBK" w:cs="Nimbus Roman No9 L"/>
                <w:color w:val="auto"/>
                <w:lang w:val="en-US" w:eastAsia="zh-CN"/>
              </w:rPr>
              <w:t>764</w:t>
            </w:r>
            <w:r>
              <w:rPr>
                <w:rFonts w:hint="default" w:ascii="Nimbus Roman No9 L" w:hAnsi="Nimbus Roman No9 L" w:eastAsia="方正仿宋_GBK" w:cs="Nimbus Roman No9 L"/>
                <w:color w:val="auto"/>
              </w:rPr>
              <w:t>（不变</w:t>
            </w:r>
            <w:r>
              <w:rPr>
                <w:rFonts w:hint="eastAsia" w:ascii="Nimbus Roman No9 L" w:hAnsi="Nimbus Roman No9 L" w:eastAsia="方正仿宋_GBK" w:cs="Nimbus Roman No9 L"/>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X042</w:t>
            </w:r>
          </w:p>
        </w:tc>
        <w:tc>
          <w:tcPr>
            <w:tcW w:w="2789" w:type="dxa"/>
            <w:shd w:val="clear" w:color="000000" w:fill="FFFFFF"/>
          </w:tcPr>
          <w:p>
            <w:pPr>
              <w:pStyle w:val="35"/>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7.1（升级后32.47</w:t>
            </w:r>
            <w:r>
              <w:rPr>
                <w:rFonts w:hint="default" w:ascii="Nimbus Roman No9 L" w:hAnsi="Nimbus Roman No9 L" w:eastAsia="方正仿宋_GBK" w:cs="Nimbus Roman No9 L"/>
                <w:color w:val="auto"/>
                <w:lang w:val="en-US" w:eastAsia="zh-CN"/>
              </w:rPr>
              <w:t>3</w:t>
            </w:r>
            <w:r>
              <w:rPr>
                <w:rFonts w:hint="default" w:ascii="Nimbus Roman No9 L" w:hAnsi="Nimbus Roman No9 L" w:eastAsia="方正仿宋_GBK" w:cs="Nimbus Roman No9 L"/>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X959</w:t>
            </w:r>
          </w:p>
        </w:tc>
        <w:tc>
          <w:tcPr>
            <w:tcW w:w="2789" w:type="dxa"/>
            <w:shd w:val="clear" w:color="000000" w:fill="FFFFFF"/>
          </w:tcPr>
          <w:p>
            <w:pPr>
              <w:pStyle w:val="35"/>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7.4</w:t>
            </w:r>
            <w:r>
              <w:rPr>
                <w:rFonts w:hint="default" w:ascii="Nimbus Roman No9 L" w:hAnsi="Nimbus Roman No9 L" w:eastAsia="方正仿宋_GBK" w:cs="Nimbus Roman No9 L"/>
                <w:color w:val="auto"/>
                <w:lang w:val="en-US" w:eastAsia="zh-CN"/>
              </w:rPr>
              <w:t>43</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不变</w:t>
            </w:r>
            <w:r>
              <w:rPr>
                <w:rFonts w:hint="eastAsia" w:ascii="Nimbus Roman No9 L" w:hAnsi="Nimbus Roman No9 L" w:eastAsia="方正仿宋_GBK" w:cs="Nimbus Roman No9 L"/>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7</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X965</w:t>
            </w:r>
          </w:p>
        </w:tc>
        <w:tc>
          <w:tcPr>
            <w:tcW w:w="2789" w:type="dxa"/>
            <w:shd w:val="clear" w:color="000000" w:fill="FFFFFF"/>
          </w:tcPr>
          <w:p>
            <w:pPr>
              <w:pStyle w:val="35"/>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10.7</w:t>
            </w:r>
            <w:r>
              <w:rPr>
                <w:rFonts w:hint="default" w:ascii="Nimbus Roman No9 L" w:hAnsi="Nimbus Roman No9 L" w:eastAsia="方正仿宋_GBK" w:cs="Nimbus Roman No9 L"/>
                <w:color w:val="auto"/>
                <w:lang w:val="en-US" w:eastAsia="zh-CN"/>
              </w:rPr>
              <w:t>34</w:t>
            </w:r>
            <w:r>
              <w:rPr>
                <w:rFonts w:hint="default" w:ascii="Nimbus Roman No9 L" w:hAnsi="Nimbus Roman No9 L" w:eastAsia="方正仿宋_GBK" w:cs="Nimbus Roman No9 L"/>
                <w:color w:val="auto"/>
              </w:rPr>
              <w:t>（升级后37.185）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w:t>
            </w:r>
          </w:p>
        </w:tc>
        <w:tc>
          <w:tcPr>
            <w:tcW w:w="4746"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X966</w:t>
            </w:r>
          </w:p>
        </w:tc>
        <w:tc>
          <w:tcPr>
            <w:tcW w:w="2789" w:type="dxa"/>
            <w:shd w:val="clear" w:color="000000" w:fill="FFFFFF"/>
          </w:tcPr>
          <w:p>
            <w:pPr>
              <w:pStyle w:val="35"/>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7.</w:t>
            </w:r>
            <w:r>
              <w:rPr>
                <w:rFonts w:hint="default" w:ascii="Nimbus Roman No9 L" w:hAnsi="Nimbus Roman No9 L" w:eastAsia="方正仿宋_GBK" w:cs="Nimbus Roman No9 L"/>
                <w:color w:val="auto"/>
                <w:lang w:val="en-US" w:eastAsia="zh-CN"/>
              </w:rPr>
              <w:t>187</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不变</w:t>
            </w:r>
            <w:r>
              <w:rPr>
                <w:rFonts w:hint="eastAsia" w:ascii="Nimbus Roman No9 L" w:hAnsi="Nimbus Roman No9 L" w:eastAsia="方正仿宋_GBK" w:cs="Nimbus Roman No9 L"/>
                <w:color w:val="auto"/>
                <w:lang w:eastAsia="zh-CN"/>
              </w:rPr>
              <w:t>）</w:t>
            </w:r>
          </w:p>
        </w:tc>
      </w:tr>
    </w:tbl>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5.6.2乡村道规划</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根据《梅州市平远县乡村振兴农村公路发展规划（2018—2022年）》，规划新增了22条重点乡道，总里程约200公里。同时，考虑到平远县农村公路建设工作的稳步推进，本规划经分析预测，到规划期末，平远县内乡道的规划里程约达到1200公里（含重点乡道），村道的规划里程约达到960公里。</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5.6.3旅游公路规划</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注重跨区域衔接与沟通，主动对接省南岭生态旅游公路规划，推进“一环一纵三联络”的旅游公路结构规划项目，加快构建成环成网的旅游大通道。充分挖掘平远旅游地域特色，推进“公路+旅游”融合发展，加快旅游公路配套设施建设，打造舒适、便捷、特色的慢游公路网络。“一环一纵三联络”旅游公路结构如图5-7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rPr>
      </w:pPr>
      <w:r>
        <w:rPr>
          <w:color w:val="auto"/>
        </w:rPr>
        <w:drawing>
          <wp:inline distT="0" distB="0" distL="114300" distR="114300">
            <wp:extent cx="5706110" cy="7604760"/>
            <wp:effectExtent l="0" t="0" r="8890" b="15240"/>
            <wp:docPr id="21" name="图片 21" descr="D:\2022年项目\2022广东平远十四五交通规划\0325修改稿\平远V15\11-1.jp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2022年项目\2022广东平远十四五交通规划\0325修改稿\平远V15\11-1.jpg11-1"/>
                    <pic:cNvPicPr>
                      <a:picLocks noChangeAspect="1"/>
                    </pic:cNvPicPr>
                  </pic:nvPicPr>
                  <pic:blipFill>
                    <a:blip r:embed="rId22"/>
                    <a:srcRect/>
                    <a:stretch>
                      <a:fillRect/>
                    </a:stretch>
                  </pic:blipFill>
                  <pic:spPr>
                    <a:xfrm>
                      <a:off x="0" y="0"/>
                      <a:ext cx="5706110" cy="7604760"/>
                    </a:xfrm>
                    <a:prstGeom prst="rect">
                      <a:avLst/>
                    </a:prstGeom>
                  </pic:spPr>
                </pic:pic>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图5-7  平远县“十四五”旅游公路规划图</w:t>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表5-9  “一环一纵三联络”旅游公路骨架表</w:t>
      </w:r>
    </w:p>
    <w:tbl>
      <w:tblPr>
        <w:tblStyle w:val="22"/>
        <w:tblW w:w="93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7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083" w:type="dxa"/>
            <w:shd w:val="clear" w:color="auto" w:fill="DEEAF6" w:themeFill="accent1" w:themeFillTint="33"/>
            <w:vAlign w:val="center"/>
          </w:tcPr>
          <w:p>
            <w:pPr>
              <w:pStyle w:val="35"/>
              <w:rPr>
                <w:color w:val="auto"/>
              </w:rPr>
            </w:pPr>
            <w:r>
              <w:rPr>
                <w:rFonts w:hint="eastAsia"/>
                <w:color w:val="auto"/>
              </w:rPr>
              <w:t>结构</w:t>
            </w:r>
          </w:p>
        </w:tc>
        <w:tc>
          <w:tcPr>
            <w:tcW w:w="7261" w:type="dxa"/>
            <w:shd w:val="clear" w:color="auto" w:fill="DEEAF6" w:themeFill="accent1" w:themeFillTint="33"/>
            <w:vAlign w:val="center"/>
          </w:tcPr>
          <w:p>
            <w:pPr>
              <w:pStyle w:val="35"/>
              <w:rPr>
                <w:color w:val="auto"/>
              </w:rPr>
            </w:pPr>
            <w:r>
              <w:rPr>
                <w:rFonts w:hint="eastAsia"/>
                <w:color w:val="auto"/>
              </w:rPr>
              <w:t>线路骨架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083"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一环</w:t>
            </w:r>
          </w:p>
        </w:tc>
        <w:tc>
          <w:tcPr>
            <w:tcW w:w="7261"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五指石</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热柘温泉旅游环线公路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083"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一纵</w:t>
            </w:r>
          </w:p>
        </w:tc>
        <w:tc>
          <w:tcPr>
            <w:tcW w:w="7261"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平远县城至五指石旅游公路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083"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三联络</w:t>
            </w:r>
          </w:p>
        </w:tc>
        <w:tc>
          <w:tcPr>
            <w:tcW w:w="7261"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S334</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S332</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S225</w:t>
            </w:r>
          </w:p>
        </w:tc>
      </w:tr>
    </w:tbl>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38" w:name="_Toc15778"/>
      <w:r>
        <w:rPr>
          <w:rFonts w:hint="default" w:ascii="Nimbus Roman No9 L" w:hAnsi="Nimbus Roman No9 L" w:eastAsia="方正楷体_GBK" w:cs="Nimbus Roman No9 L"/>
          <w:b w:val="0"/>
          <w:bCs/>
          <w:color w:val="auto"/>
          <w:sz w:val="32"/>
          <w:szCs w:val="32"/>
        </w:rPr>
        <w:t>5.7</w:t>
      </w:r>
      <w:bookmarkStart w:id="39" w:name="_Toc24467"/>
      <w:r>
        <w:rPr>
          <w:rFonts w:hint="default" w:ascii="Nimbus Roman No9 L" w:hAnsi="Nimbus Roman No9 L" w:eastAsia="方正楷体_GBK" w:cs="Nimbus Roman No9 L"/>
          <w:b w:val="0"/>
          <w:bCs/>
          <w:color w:val="auto"/>
          <w:sz w:val="32"/>
          <w:szCs w:val="32"/>
        </w:rPr>
        <w:t>城乡公交线网</w:t>
      </w:r>
      <w:bookmarkEnd w:id="39"/>
      <w:r>
        <w:rPr>
          <w:rFonts w:hint="default" w:ascii="Nimbus Roman No9 L" w:hAnsi="Nimbus Roman No9 L" w:eastAsia="方正楷体_GBK" w:cs="Nimbus Roman No9 L"/>
          <w:b w:val="0"/>
          <w:bCs/>
          <w:color w:val="auto"/>
          <w:sz w:val="32"/>
          <w:szCs w:val="32"/>
        </w:rPr>
        <w:t>发展规划</w:t>
      </w:r>
      <w:bookmarkEnd w:id="38"/>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针对平远县现有城乡公交线网，规划到“十四五”末期，新建线路10条以上，不断满足人民群众出行需求，切实提升广大人民群众的幸福感和获得感。具体线路如表5-10所示。</w:t>
      </w:r>
    </w:p>
    <w:bookmarkEnd w:id="26"/>
    <w:p>
      <w:pPr>
        <w:pStyle w:val="27"/>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表5-10  平远县“十四五”公交线路规划</w:t>
      </w:r>
    </w:p>
    <w:tbl>
      <w:tblPr>
        <w:tblStyle w:val="22"/>
        <w:tblW w:w="9638" w:type="dxa"/>
        <w:jc w:val="center"/>
        <w:tblInd w:w="0" w:type="dxa"/>
        <w:tblLayout w:type="fixed"/>
        <w:tblCellMar>
          <w:top w:w="0" w:type="dxa"/>
          <w:left w:w="108" w:type="dxa"/>
          <w:bottom w:w="0" w:type="dxa"/>
          <w:right w:w="108" w:type="dxa"/>
        </w:tblCellMar>
      </w:tblPr>
      <w:tblGrid>
        <w:gridCol w:w="1077"/>
        <w:gridCol w:w="737"/>
        <w:gridCol w:w="737"/>
        <w:gridCol w:w="5783"/>
        <w:gridCol w:w="1304"/>
      </w:tblGrid>
      <w:tr>
        <w:tblPrEx>
          <w:tblLayout w:type="fixed"/>
          <w:tblCellMar>
            <w:top w:w="0" w:type="dxa"/>
            <w:left w:w="108" w:type="dxa"/>
            <w:bottom w:w="0" w:type="dxa"/>
            <w:right w:w="108" w:type="dxa"/>
          </w:tblCellMar>
        </w:tblPrEx>
        <w:trPr>
          <w:trHeight w:val="442"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vAlign w:val="center"/>
          </w:tcPr>
          <w:p>
            <w:pPr>
              <w:pStyle w:val="35"/>
              <w:rPr>
                <w:color w:val="auto"/>
              </w:rPr>
            </w:pPr>
            <w:r>
              <w:rPr>
                <w:rFonts w:hint="eastAsia"/>
                <w:color w:val="auto"/>
              </w:rPr>
              <w:t>线路</w:t>
            </w:r>
          </w:p>
        </w:tc>
        <w:tc>
          <w:tcPr>
            <w:tcW w:w="73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vAlign w:val="center"/>
          </w:tcPr>
          <w:p>
            <w:pPr>
              <w:pStyle w:val="35"/>
              <w:rPr>
                <w:color w:val="auto"/>
              </w:rPr>
            </w:pPr>
            <w:r>
              <w:rPr>
                <w:rFonts w:hint="eastAsia"/>
                <w:color w:val="auto"/>
              </w:rPr>
              <w:t>起点</w:t>
            </w:r>
          </w:p>
        </w:tc>
        <w:tc>
          <w:tcPr>
            <w:tcW w:w="73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vAlign w:val="center"/>
          </w:tcPr>
          <w:p>
            <w:pPr>
              <w:pStyle w:val="35"/>
              <w:rPr>
                <w:color w:val="auto"/>
              </w:rPr>
            </w:pPr>
            <w:r>
              <w:rPr>
                <w:rFonts w:hint="eastAsia"/>
                <w:color w:val="auto"/>
              </w:rPr>
              <w:t>终点</w:t>
            </w:r>
          </w:p>
        </w:tc>
        <w:tc>
          <w:tcPr>
            <w:tcW w:w="578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vAlign w:val="center"/>
          </w:tcPr>
          <w:p>
            <w:pPr>
              <w:pStyle w:val="35"/>
              <w:rPr>
                <w:color w:val="auto"/>
              </w:rPr>
            </w:pPr>
            <w:r>
              <w:rPr>
                <w:rFonts w:hint="eastAsia"/>
                <w:color w:val="auto"/>
              </w:rPr>
              <w:t>途经</w:t>
            </w:r>
          </w:p>
        </w:tc>
        <w:tc>
          <w:tcPr>
            <w:tcW w:w="1304"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vAlign w:val="center"/>
          </w:tcPr>
          <w:p>
            <w:pPr>
              <w:pStyle w:val="35"/>
              <w:rPr>
                <w:color w:val="auto"/>
              </w:rPr>
            </w:pPr>
            <w:r>
              <w:rPr>
                <w:rFonts w:hint="eastAsia"/>
                <w:color w:val="auto"/>
              </w:rPr>
              <w:t>备注</w:t>
            </w:r>
          </w:p>
        </w:tc>
      </w:tr>
      <w:tr>
        <w:tblPrEx>
          <w:tblLayout w:type="fixed"/>
          <w:tblCellMar>
            <w:top w:w="0" w:type="dxa"/>
            <w:left w:w="108" w:type="dxa"/>
            <w:bottom w:w="0" w:type="dxa"/>
            <w:right w:w="108" w:type="dxa"/>
          </w:tblCellMar>
        </w:tblPrEx>
        <w:trPr>
          <w:trHeight w:val="624"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7号线（往返）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湍溪</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民政局→官田广场→邮政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交通</w:t>
            </w:r>
            <w:r>
              <w:rPr>
                <w:rFonts w:hint="eastAsia" w:ascii="Nimbus Roman No9 L" w:hAnsi="Nimbus Roman No9 L" w:eastAsia="方正仿宋_GBK" w:cs="Nimbus Roman No9 L"/>
                <w:color w:val="000000" w:themeColor="text1"/>
                <w:lang w:eastAsia="zh-CN"/>
                <w14:textFill>
                  <w14:solidFill>
                    <w14:schemeClr w14:val="tx1"/>
                  </w14:solidFill>
                </w14:textFill>
              </w:rPr>
              <w:t>运输</w:t>
            </w:r>
            <w:r>
              <w:rPr>
                <w:rFonts w:hint="default" w:ascii="Nimbus Roman No9 L" w:hAnsi="Nimbus Roman No9 L" w:eastAsia="方正仿宋_GBK" w:cs="Nimbus Roman No9 L"/>
                <w:color w:val="000000" w:themeColor="text1"/>
                <w14:textFill>
                  <w14:solidFill>
                    <w14:schemeClr w14:val="tx1"/>
                  </w14:solidFill>
                </w14:textFill>
              </w:rPr>
              <w:t>局→新岭路→</w:t>
            </w:r>
            <w:r>
              <w:rPr>
                <w:rFonts w:hint="eastAsia" w:ascii="Nimbus Roman No9 L" w:hAnsi="Nimbus Roman No9 L" w:eastAsia="方正仿宋_GBK" w:cs="Nimbus Roman No9 L"/>
                <w:color w:val="000000" w:themeColor="text1"/>
                <w:lang w:eastAsia="zh-CN"/>
                <w14:textFill>
                  <w14:solidFill>
                    <w14:schemeClr w14:val="tx1"/>
                  </w14:solidFill>
                </w14:textFill>
              </w:rPr>
              <w:t>县税务</w:t>
            </w:r>
            <w:r>
              <w:rPr>
                <w:rFonts w:hint="default" w:ascii="Nimbus Roman No9 L" w:hAnsi="Nimbus Roman No9 L" w:eastAsia="方正仿宋_GBK" w:cs="Nimbus Roman No9 L"/>
                <w:color w:val="000000" w:themeColor="text1"/>
                <w14:textFill>
                  <w14:solidFill>
                    <w14:schemeClr w14:val="tx1"/>
                  </w14:solidFill>
                </w14:textFill>
              </w:rPr>
              <w:t>局→平城花园→鑫宝汽车→通达油站→南药公司→田螺纽→新茶亭→吾良畲→良畲→盐布潭→下村→大士宫→中行镇→快湖→底背村→金穗山庄→樟田→原八尺收费站→八尺代售票点→八尺车站→楼前→黄沙→上远→飞龙→仁居→井下→五福→文丰→差干→加丰→竹岭</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全程68公里，常规能源车1辆</w:t>
            </w:r>
          </w:p>
        </w:tc>
      </w:tr>
      <w:tr>
        <w:tblPrEx>
          <w:tblLayout w:type="fixed"/>
          <w:tblCellMar>
            <w:top w:w="0" w:type="dxa"/>
            <w:left w:w="108" w:type="dxa"/>
            <w:bottom w:w="0" w:type="dxa"/>
            <w:right w:w="108" w:type="dxa"/>
          </w:tblCellMar>
        </w:tblPrEx>
        <w:trPr>
          <w:trHeight w:val="624"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下礤村</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民政局→官田广场→邮政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val="en-US" w:eastAsia="zh-CN"/>
                <w14:textFill>
                  <w14:solidFill>
                    <w14:schemeClr w14:val="tx1"/>
                  </w14:solidFill>
                </w14:textFill>
              </w:rPr>
              <w:t>县林业</w:t>
            </w:r>
            <w:r>
              <w:rPr>
                <w:rFonts w:hint="default" w:ascii="Nimbus Roman No9 L" w:hAnsi="Nimbus Roman No9 L" w:eastAsia="方正仿宋_GBK" w:cs="Nimbus Roman No9 L"/>
                <w:color w:val="000000" w:themeColor="text1"/>
                <w14:textFill>
                  <w14:solidFill>
                    <w14:schemeClr w14:val="tx1"/>
                  </w14:solidFill>
                </w14:textFill>
              </w:rPr>
              <w:t>局→大柘镇</w:t>
            </w:r>
            <w:r>
              <w:rPr>
                <w:rFonts w:hint="eastAsia" w:ascii="Nimbus Roman No9 L" w:hAnsi="Nimbus Roman No9 L" w:eastAsia="方正仿宋_GBK" w:cs="Nimbus Roman No9 L"/>
                <w:color w:val="000000" w:themeColor="text1"/>
                <w:lang w:eastAsia="zh-CN"/>
                <w14:textFill>
                  <w14:solidFill>
                    <w14:schemeClr w14:val="tx1"/>
                  </w14:solidFill>
                </w14:textFill>
              </w:rPr>
              <w:t>人民</w:t>
            </w:r>
            <w:r>
              <w:rPr>
                <w:rFonts w:hint="default" w:ascii="Nimbus Roman No9 L" w:hAnsi="Nimbus Roman No9 L" w:eastAsia="方正仿宋_GBK" w:cs="Nimbus Roman No9 L"/>
                <w:color w:val="000000" w:themeColor="text1"/>
                <w14:textFill>
                  <w14:solidFill>
                    <w14:schemeClr w14:val="tx1"/>
                  </w14:solidFill>
                </w14:textFill>
              </w:rPr>
              <w:t>政府→电力公司→宜华木业→氮肥厂→河陂水→程西→支路口→程北→程坑里→车子岗→大屋→双石→东石站→黄机塘→锡水→洋背→畲脑→相思谷→麻楼→仁居→邹坊→六吉→木溪</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全程45公里，常规能源车1台</w:t>
            </w:r>
          </w:p>
        </w:tc>
      </w:tr>
      <w:tr>
        <w:tblPrEx>
          <w:tblLayout w:type="fixed"/>
          <w:tblCellMar>
            <w:top w:w="0" w:type="dxa"/>
            <w:left w:w="108" w:type="dxa"/>
            <w:bottom w:w="0" w:type="dxa"/>
            <w:right w:w="108" w:type="dxa"/>
          </w:tblCellMar>
        </w:tblPrEx>
        <w:trPr>
          <w:trHeight w:val="624"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9号线（往返）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湍溪</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民政局→官田广场→邮政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val="en-US" w:eastAsia="zh-CN"/>
                <w14:textFill>
                  <w14:solidFill>
                    <w14:schemeClr w14:val="tx1"/>
                  </w14:solidFill>
                </w14:textFill>
              </w:rPr>
              <w:t>县林业</w:t>
            </w:r>
            <w:r>
              <w:rPr>
                <w:rFonts w:hint="default" w:ascii="Nimbus Roman No9 L" w:hAnsi="Nimbus Roman No9 L" w:eastAsia="方正仿宋_GBK" w:cs="Nimbus Roman No9 L"/>
                <w:color w:val="000000" w:themeColor="text1"/>
                <w14:textFill>
                  <w14:solidFill>
                    <w14:schemeClr w14:val="tx1"/>
                  </w14:solidFill>
                </w14:textFill>
              </w:rPr>
              <w:t>局→大柘镇</w:t>
            </w:r>
            <w:r>
              <w:rPr>
                <w:rFonts w:hint="eastAsia" w:ascii="Nimbus Roman No9 L" w:hAnsi="Nimbus Roman No9 L" w:eastAsia="方正仿宋_GBK" w:cs="Nimbus Roman No9 L"/>
                <w:color w:val="000000" w:themeColor="text1"/>
                <w:lang w:eastAsia="zh-CN"/>
                <w14:textFill>
                  <w14:solidFill>
                    <w14:schemeClr w14:val="tx1"/>
                  </w14:solidFill>
                </w14:textFill>
              </w:rPr>
              <w:t>人民</w:t>
            </w:r>
            <w:r>
              <w:rPr>
                <w:rFonts w:hint="default" w:ascii="Nimbus Roman No9 L" w:hAnsi="Nimbus Roman No9 L" w:eastAsia="方正仿宋_GBK" w:cs="Nimbus Roman No9 L"/>
                <w:color w:val="000000" w:themeColor="text1"/>
                <w14:textFill>
                  <w14:solidFill>
                    <w14:schemeClr w14:val="tx1"/>
                  </w14:solidFill>
                </w14:textFill>
              </w:rPr>
              <w:t>政府→电力公司→宜华木业→原氮肥厂→河陂水→程西→支路口→程北→程坑里→车子岗→大屋→双石→东石站→黄机塘→锡水→洋背→畲脑→相思谷→小畲→上举→双门石下→八沙→咸水</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全程49公里，常规能源车2台</w:t>
            </w:r>
          </w:p>
        </w:tc>
      </w:tr>
      <w:tr>
        <w:tblPrEx>
          <w:tblLayout w:type="fixed"/>
          <w:tblCellMar>
            <w:top w:w="0" w:type="dxa"/>
            <w:left w:w="108" w:type="dxa"/>
            <w:bottom w:w="0" w:type="dxa"/>
            <w:right w:w="108" w:type="dxa"/>
          </w:tblCellMar>
        </w:tblPrEx>
        <w:trPr>
          <w:trHeight w:val="1950"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10号线（往返）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文裕村</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民政局→官田广场→邮政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val="en-US" w:eastAsia="zh-CN"/>
                <w14:textFill>
                  <w14:solidFill>
                    <w14:schemeClr w14:val="tx1"/>
                  </w14:solidFill>
                </w14:textFill>
              </w:rPr>
              <w:t>县林业</w:t>
            </w:r>
            <w:r>
              <w:rPr>
                <w:rFonts w:hint="default" w:ascii="Nimbus Roman No9 L" w:hAnsi="Nimbus Roman No9 L" w:eastAsia="方正仿宋_GBK" w:cs="Nimbus Roman No9 L"/>
                <w:color w:val="000000" w:themeColor="text1"/>
                <w14:textFill>
                  <w14:solidFill>
                    <w14:schemeClr w14:val="tx1"/>
                  </w14:solidFill>
                </w14:textFill>
              </w:rPr>
              <w:t>局→大柘镇</w:t>
            </w:r>
            <w:r>
              <w:rPr>
                <w:rFonts w:hint="eastAsia" w:ascii="Nimbus Roman No9 L" w:hAnsi="Nimbus Roman No9 L" w:eastAsia="方正仿宋_GBK" w:cs="Nimbus Roman No9 L"/>
                <w:color w:val="000000" w:themeColor="text1"/>
                <w:lang w:eastAsia="zh-CN"/>
                <w14:textFill>
                  <w14:solidFill>
                    <w14:schemeClr w14:val="tx1"/>
                  </w14:solidFill>
                </w14:textFill>
              </w:rPr>
              <w:t>人民</w:t>
            </w:r>
            <w:r>
              <w:rPr>
                <w:rFonts w:hint="default" w:ascii="Nimbus Roman No9 L" w:hAnsi="Nimbus Roman No9 L" w:eastAsia="方正仿宋_GBK" w:cs="Nimbus Roman No9 L"/>
                <w:color w:val="000000" w:themeColor="text1"/>
                <w14:textFill>
                  <w14:solidFill>
                    <w14:schemeClr w14:val="tx1"/>
                  </w14:solidFill>
                </w14:textFill>
              </w:rPr>
              <w:t>政府→电力公司→宜华木业→原氮肥厂→河陂水→程西→支路口→程北→程坑里→车子岗→大屋→双石→东石站→黄机塘→锡水→洋背→畲脑→小畲→上举→双门石下→龙文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全程46公里，常规能源车1台</w:t>
            </w:r>
          </w:p>
        </w:tc>
      </w:tr>
      <w:tr>
        <w:tblPrEx>
          <w:tblLayout w:type="fixed"/>
          <w:tblCellMar>
            <w:top w:w="0" w:type="dxa"/>
            <w:left w:w="108" w:type="dxa"/>
            <w:bottom w:w="0" w:type="dxa"/>
            <w:right w:w="108" w:type="dxa"/>
          </w:tblCellMar>
        </w:tblPrEx>
        <w:trPr>
          <w:trHeight w:val="1855"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11号线（往返）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符坑</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民政局→官田广场→邮政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val="en-US" w:eastAsia="zh-CN"/>
                <w14:textFill>
                  <w14:solidFill>
                    <w14:schemeClr w14:val="tx1"/>
                  </w14:solidFill>
                </w14:textFill>
              </w:rPr>
              <w:t>县林业局</w:t>
            </w:r>
            <w:r>
              <w:rPr>
                <w:rFonts w:hint="default" w:ascii="Nimbus Roman No9 L" w:hAnsi="Nimbus Roman No9 L" w:eastAsia="方正仿宋_GBK" w:cs="Nimbus Roman No9 L"/>
                <w:color w:val="000000" w:themeColor="text1"/>
                <w14:textFill>
                  <w14:solidFill>
                    <w14:schemeClr w14:val="tx1"/>
                  </w14:solidFill>
                </w14:textFill>
              </w:rPr>
              <w:t>→大柘镇</w:t>
            </w:r>
            <w:r>
              <w:rPr>
                <w:rFonts w:hint="eastAsia" w:ascii="Nimbus Roman No9 L" w:hAnsi="Nimbus Roman No9 L" w:eastAsia="方正仿宋_GBK" w:cs="Nimbus Roman No9 L"/>
                <w:color w:val="000000" w:themeColor="text1"/>
                <w:lang w:eastAsia="zh-CN"/>
                <w14:textFill>
                  <w14:solidFill>
                    <w14:schemeClr w14:val="tx1"/>
                  </w14:solidFill>
                </w14:textFill>
              </w:rPr>
              <w:t>人民</w:t>
            </w:r>
            <w:r>
              <w:rPr>
                <w:rFonts w:hint="default" w:ascii="Nimbus Roman No9 L" w:hAnsi="Nimbus Roman No9 L" w:eastAsia="方正仿宋_GBK" w:cs="Nimbus Roman No9 L"/>
                <w:color w:val="000000" w:themeColor="text1"/>
                <w14:textFill>
                  <w14:solidFill>
                    <w14:schemeClr w14:val="tx1"/>
                  </w14:solidFill>
                </w14:textFill>
              </w:rPr>
              <w:t>政府→电力公司→宜华木业→原氮肥厂→河陂水→程西→支路口→程北→程坑里→车子岗→大屋→双石→东石站→灵水→白岭→上寨→泗水→石角→文贵→普滩村→金田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全程51公里，常规能源车1台</w:t>
            </w:r>
          </w:p>
        </w:tc>
      </w:tr>
      <w:tr>
        <w:tblPrEx>
          <w:tblLayout w:type="fixed"/>
          <w:tblCellMar>
            <w:top w:w="0" w:type="dxa"/>
            <w:left w:w="108" w:type="dxa"/>
            <w:bottom w:w="0" w:type="dxa"/>
            <w:right w:w="108" w:type="dxa"/>
          </w:tblCellMar>
        </w:tblPrEx>
        <w:trPr>
          <w:trHeight w:val="624"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12号线（往返）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成文村</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民政局→官田广场→邮政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val="en-US" w:eastAsia="zh-CN"/>
                <w14:textFill>
                  <w14:solidFill>
                    <w14:schemeClr w14:val="tx1"/>
                  </w14:solidFill>
                </w14:textFill>
              </w:rPr>
              <w:t>县林业局</w:t>
            </w:r>
            <w:r>
              <w:rPr>
                <w:rFonts w:hint="default" w:ascii="Nimbus Roman No9 L" w:hAnsi="Nimbus Roman No9 L" w:eastAsia="方正仿宋_GBK" w:cs="Nimbus Roman No9 L"/>
                <w:color w:val="000000" w:themeColor="text1"/>
                <w14:textFill>
                  <w14:solidFill>
                    <w14:schemeClr w14:val="tx1"/>
                  </w14:solidFill>
                </w14:textFill>
              </w:rPr>
              <w:t>→大柘镇</w:t>
            </w:r>
            <w:r>
              <w:rPr>
                <w:rFonts w:hint="eastAsia" w:ascii="Nimbus Roman No9 L" w:hAnsi="Nimbus Roman No9 L" w:eastAsia="方正仿宋_GBK" w:cs="Nimbus Roman No9 L"/>
                <w:color w:val="000000" w:themeColor="text1"/>
                <w:lang w:eastAsia="zh-CN"/>
                <w14:textFill>
                  <w14:solidFill>
                    <w14:schemeClr w14:val="tx1"/>
                  </w14:solidFill>
                </w14:textFill>
              </w:rPr>
              <w:t>人民</w:t>
            </w:r>
            <w:r>
              <w:rPr>
                <w:rFonts w:hint="default" w:ascii="Nimbus Roman No9 L" w:hAnsi="Nimbus Roman No9 L" w:eastAsia="方正仿宋_GBK" w:cs="Nimbus Roman No9 L"/>
                <w:color w:val="000000" w:themeColor="text1"/>
                <w14:textFill>
                  <w14:solidFill>
                    <w14:schemeClr w14:val="tx1"/>
                  </w14:solidFill>
                </w14:textFill>
              </w:rPr>
              <w:t>政府→电力公司→宜华木业→原氮肥厂→河陂水→程西→支路口→程北→程坑里→车子岗→大屋→双石→东石站→灵水→白岭→上寨→泗水→大畲→梅畲→兴明</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全48公里，常规能源车1台</w:t>
            </w:r>
          </w:p>
        </w:tc>
      </w:tr>
      <w:tr>
        <w:tblPrEx>
          <w:tblLayout w:type="fixed"/>
          <w:tblCellMar>
            <w:top w:w="0" w:type="dxa"/>
            <w:left w:w="108" w:type="dxa"/>
            <w:bottom w:w="0" w:type="dxa"/>
            <w:right w:w="108" w:type="dxa"/>
          </w:tblCellMar>
        </w:tblPrEx>
        <w:trPr>
          <w:trHeight w:val="1900"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13号线（往返）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大新</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民政局→官田广场→邮政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val="en-US" w:eastAsia="zh-CN"/>
                <w14:textFill>
                  <w14:solidFill>
                    <w14:schemeClr w14:val="tx1"/>
                  </w14:solidFill>
                </w14:textFill>
              </w:rPr>
              <w:t>县林业局</w:t>
            </w:r>
            <w:r>
              <w:rPr>
                <w:rFonts w:hint="default" w:ascii="Nimbus Roman No9 L" w:hAnsi="Nimbus Roman No9 L" w:eastAsia="方正仿宋_GBK" w:cs="Nimbus Roman No9 L"/>
                <w:color w:val="000000" w:themeColor="text1"/>
                <w14:textFill>
                  <w14:solidFill>
                    <w14:schemeClr w14:val="tx1"/>
                  </w14:solidFill>
                </w14:textFill>
              </w:rPr>
              <w:t>→大柘镇</w:t>
            </w:r>
            <w:r>
              <w:rPr>
                <w:rFonts w:hint="eastAsia" w:ascii="Nimbus Roman No9 L" w:hAnsi="Nimbus Roman No9 L" w:eastAsia="方正仿宋_GBK" w:cs="Nimbus Roman No9 L"/>
                <w:color w:val="000000" w:themeColor="text1"/>
                <w:lang w:eastAsia="zh-CN"/>
                <w14:textFill>
                  <w14:solidFill>
                    <w14:schemeClr w14:val="tx1"/>
                  </w14:solidFill>
                </w14:textFill>
              </w:rPr>
              <w:t>人民</w:t>
            </w:r>
            <w:r>
              <w:rPr>
                <w:rFonts w:hint="default" w:ascii="Nimbus Roman No9 L" w:hAnsi="Nimbus Roman No9 L" w:eastAsia="方正仿宋_GBK" w:cs="Nimbus Roman No9 L"/>
                <w:color w:val="000000" w:themeColor="text1"/>
                <w14:textFill>
                  <w14:solidFill>
                    <w14:schemeClr w14:val="tx1"/>
                  </w14:solidFill>
                </w14:textFill>
              </w:rPr>
              <w:t>政府→电力公司→宜华木业→原氮肥厂→河陂水→程西→支路口→程北→程坑里→车子岗→大屋→双石→东石站→灵水→白岭→上寨→泗水→大畲→木联</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全程47公里，常规能源车1台</w:t>
            </w:r>
          </w:p>
        </w:tc>
      </w:tr>
      <w:tr>
        <w:tblPrEx>
          <w:tblLayout w:type="fixed"/>
          <w:tblCellMar>
            <w:top w:w="0" w:type="dxa"/>
            <w:left w:w="108" w:type="dxa"/>
            <w:bottom w:w="0" w:type="dxa"/>
            <w:right w:w="108" w:type="dxa"/>
          </w:tblCellMar>
        </w:tblPrEx>
        <w:trPr>
          <w:trHeight w:val="1840"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14号线（往返）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Nimbus Roman No9 L" w:hAnsi="Nimbus Roman No9 L" w:eastAsia="方正仿宋_GBK" w:cs="Nimbus Roman No9 L"/>
                <w:color w:val="000000" w:themeColor="text1"/>
                <w:lang w:eastAsia="zh-CN"/>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韩坑</w:t>
            </w:r>
            <w:r>
              <w:rPr>
                <w:rFonts w:hint="eastAsia" w:ascii="Nimbus Roman No9 L" w:hAnsi="Nimbus Roman No9 L" w:eastAsia="方正仿宋_GBK" w:cs="Nimbus Roman No9 L"/>
                <w:color w:val="000000" w:themeColor="text1"/>
                <w:lang w:eastAsia="zh-CN"/>
                <w14:textFill>
                  <w14:solidFill>
                    <w14:schemeClr w14:val="tx1"/>
                  </w14:solidFill>
                </w14:textFill>
              </w:rPr>
              <w:t>村</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民政局→官田广场→邮政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val="en-US" w:eastAsia="zh-CN"/>
                <w14:textFill>
                  <w14:solidFill>
                    <w14:schemeClr w14:val="tx1"/>
                  </w14:solidFill>
                </w14:textFill>
              </w:rPr>
              <w:t>县林业局</w:t>
            </w:r>
            <w:r>
              <w:rPr>
                <w:rFonts w:hint="default" w:ascii="Nimbus Roman No9 L" w:hAnsi="Nimbus Roman No9 L" w:eastAsia="方正仿宋_GBK" w:cs="Nimbus Roman No9 L"/>
                <w:color w:val="000000" w:themeColor="text1"/>
                <w14:textFill>
                  <w14:solidFill>
                    <w14:schemeClr w14:val="tx1"/>
                  </w14:solidFill>
                </w14:textFill>
              </w:rPr>
              <w:t>→大柘镇</w:t>
            </w:r>
            <w:r>
              <w:rPr>
                <w:rFonts w:hint="eastAsia" w:ascii="Nimbus Roman No9 L" w:hAnsi="Nimbus Roman No9 L" w:eastAsia="方正仿宋_GBK" w:cs="Nimbus Roman No9 L"/>
                <w:color w:val="000000" w:themeColor="text1"/>
                <w:lang w:eastAsia="zh-CN"/>
                <w14:textFill>
                  <w14:solidFill>
                    <w14:schemeClr w14:val="tx1"/>
                  </w14:solidFill>
                </w14:textFill>
              </w:rPr>
              <w:t>人民</w:t>
            </w:r>
            <w:r>
              <w:rPr>
                <w:rFonts w:hint="default" w:ascii="Nimbus Roman No9 L" w:hAnsi="Nimbus Roman No9 L" w:eastAsia="方正仿宋_GBK" w:cs="Nimbus Roman No9 L"/>
                <w:color w:val="000000" w:themeColor="text1"/>
                <w14:textFill>
                  <w14:solidFill>
                    <w14:schemeClr w14:val="tx1"/>
                  </w14:solidFill>
                </w14:textFill>
              </w:rPr>
              <w:t>政府→电力公司→宜华木业→原氮肥厂→河陂水→程西→支路口→程北→程坑里→车子岗→大屋→双石→东石站→麻园→扁坑</w:t>
            </w:r>
            <w:r>
              <w:rPr>
                <w:rFonts w:hint="default" w:ascii="Nimbus Roman No9 L" w:hAnsi="Nimbus Roman No9 L" w:eastAsia="方正仿宋_GBK" w:cs="Nimbus Roman No9 L"/>
                <w:color w:val="000000" w:themeColor="text1"/>
                <w:spacing w:val="-6"/>
                <w:sz w:val="24"/>
                <w14:textFill>
                  <w14:solidFill>
                    <w14:schemeClr w14:val="tx1"/>
                  </w14:solidFill>
                </w14:textFill>
              </w:rPr>
              <w:t>→零公里→茅坪→岗上→蕉心坑→蕉留→中村→下黄地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全程50公里，常规能源车1台</w:t>
            </w:r>
          </w:p>
        </w:tc>
      </w:tr>
      <w:tr>
        <w:tblPrEx>
          <w:tblLayout w:type="fixed"/>
          <w:tblCellMar>
            <w:top w:w="0" w:type="dxa"/>
            <w:left w:w="108" w:type="dxa"/>
            <w:bottom w:w="0" w:type="dxa"/>
            <w:right w:w="108" w:type="dxa"/>
          </w:tblCellMar>
        </w:tblPrEx>
        <w:trPr>
          <w:trHeight w:val="624"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韩坑村</w:t>
            </w:r>
          </w:p>
        </w:tc>
        <w:tc>
          <w:tcPr>
            <w:tcW w:w="5783" w:type="dxa"/>
            <w:tcBorders>
              <w:top w:val="nil"/>
              <w:left w:val="nil"/>
              <w:bottom w:val="nil"/>
              <w:right w:val="nil"/>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spacing w:val="-6"/>
                <w:sz w:val="24"/>
                <w14:textFill>
                  <w14:solidFill>
                    <w14:schemeClr w14:val="tx1"/>
                  </w14:solidFill>
                </w14:textFill>
              </w:rPr>
              <w:t>超竹→超南→长田→长安→热水→热柘→黄竹峰→上山</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全程33公里，常规能源车1台</w:t>
            </w:r>
          </w:p>
        </w:tc>
      </w:tr>
      <w:tr>
        <w:tblPrEx>
          <w:tblLayout w:type="fixed"/>
          <w:tblCellMar>
            <w:top w:w="0" w:type="dxa"/>
            <w:left w:w="108" w:type="dxa"/>
            <w:bottom w:w="0" w:type="dxa"/>
            <w:right w:w="108" w:type="dxa"/>
          </w:tblCellMar>
        </w:tblPrEx>
        <w:trPr>
          <w:trHeight w:val="2070"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16号线（往返）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汽车总站（对开）</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spacing w:val="-6"/>
                <w:sz w:val="24"/>
                <w14:textFill>
                  <w14:solidFill>
                    <w14:schemeClr w14:val="tx1"/>
                  </w14:solidFill>
                </w14:textFill>
              </w:rPr>
              <w:t>→</w:t>
            </w:r>
            <w:r>
              <w:rPr>
                <w:rFonts w:hint="eastAsia" w:ascii="Nimbus Roman No9 L" w:hAnsi="Nimbus Roman No9 L" w:eastAsia="方正仿宋_GBK" w:cs="Nimbus Roman No9 L"/>
                <w:color w:val="000000" w:themeColor="text1"/>
                <w:spacing w:val="-6"/>
                <w:sz w:val="24"/>
                <w:lang w:eastAsia="zh-CN"/>
                <w14:textFill>
                  <w14:solidFill>
                    <w14:schemeClr w14:val="tx1"/>
                  </w14:solidFill>
                </w14:textFill>
              </w:rPr>
              <w:t>县</w:t>
            </w:r>
            <w:r>
              <w:rPr>
                <w:rFonts w:hint="default" w:ascii="Nimbus Roman No9 L" w:hAnsi="Nimbus Roman No9 L" w:eastAsia="方正仿宋_GBK" w:cs="Nimbus Roman No9 L"/>
                <w:color w:val="000000" w:themeColor="text1"/>
                <w:spacing w:val="-6"/>
                <w:sz w:val="24"/>
                <w14:textFill>
                  <w14:solidFill>
                    <w14:schemeClr w14:val="tx1"/>
                  </w14:solidFill>
                </w14:textFill>
              </w:rPr>
              <w:t>民政局→官田花园→邮政</w:t>
            </w:r>
            <w:r>
              <w:rPr>
                <w:rFonts w:hint="eastAsia" w:ascii="Nimbus Roman No9 L" w:hAnsi="Nimbus Roman No9 L" w:eastAsia="方正仿宋_GBK" w:cs="Nimbus Roman No9 L"/>
                <w:color w:val="000000" w:themeColor="text1"/>
                <w:spacing w:val="-6"/>
                <w:sz w:val="24"/>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spacing w:val="-6"/>
                <w:sz w:val="24"/>
                <w14:textFill>
                  <w14:solidFill>
                    <w14:schemeClr w14:val="tx1"/>
                  </w14:solidFill>
                </w14:textFill>
              </w:rPr>
              <w:t>→老车站→</w:t>
            </w:r>
            <w:r>
              <w:rPr>
                <w:rFonts w:hint="eastAsia" w:ascii="Nimbus Roman No9 L" w:hAnsi="Nimbus Roman No9 L" w:eastAsia="方正仿宋_GBK" w:cs="Nimbus Roman No9 L"/>
                <w:color w:val="000000" w:themeColor="text1"/>
                <w:spacing w:val="-6"/>
                <w:sz w:val="24"/>
                <w:lang w:val="en-US" w:eastAsia="zh-CN"/>
                <w14:textFill>
                  <w14:solidFill>
                    <w14:schemeClr w14:val="tx1"/>
                  </w14:solidFill>
                </w14:textFill>
              </w:rPr>
              <w:t>县林业局</w:t>
            </w:r>
            <w:r>
              <w:rPr>
                <w:rFonts w:hint="default" w:ascii="Nimbus Roman No9 L" w:hAnsi="Nimbus Roman No9 L" w:eastAsia="方正仿宋_GBK" w:cs="Nimbus Roman No9 L"/>
                <w:color w:val="000000" w:themeColor="text1"/>
                <w:spacing w:val="-6"/>
                <w:sz w:val="24"/>
                <w14:textFill>
                  <w14:solidFill>
                    <w14:schemeClr w14:val="tx1"/>
                  </w14:solidFill>
                </w14:textFill>
              </w:rPr>
              <w:t>→大柘镇</w:t>
            </w:r>
            <w:r>
              <w:rPr>
                <w:rFonts w:hint="eastAsia" w:ascii="Nimbus Roman No9 L" w:hAnsi="Nimbus Roman No9 L" w:eastAsia="方正仿宋_GBK" w:cs="Nimbus Roman No9 L"/>
                <w:color w:val="000000" w:themeColor="text1"/>
                <w:spacing w:val="-6"/>
                <w:sz w:val="24"/>
                <w:lang w:eastAsia="zh-CN"/>
                <w14:textFill>
                  <w14:solidFill>
                    <w14:schemeClr w14:val="tx1"/>
                  </w14:solidFill>
                </w14:textFill>
              </w:rPr>
              <w:t>人民</w:t>
            </w:r>
            <w:r>
              <w:rPr>
                <w:rFonts w:hint="default" w:ascii="Nimbus Roman No9 L" w:hAnsi="Nimbus Roman No9 L" w:eastAsia="方正仿宋_GBK" w:cs="Nimbus Roman No9 L"/>
                <w:color w:val="000000" w:themeColor="text1"/>
                <w:spacing w:val="-6"/>
                <w:sz w:val="24"/>
                <w14:textFill>
                  <w14:solidFill>
                    <w14:schemeClr w14:val="tx1"/>
                  </w14:solidFill>
                </w14:textFill>
              </w:rPr>
              <w:t>政府→电力公司—宜华木业→原氮肥厂→河陂水→支路口→坝头→漳演→贤关→升平→小柘→热柘→柚上→凤朝坑→梅东→建设路→老车站→邮政</w:t>
            </w:r>
            <w:r>
              <w:rPr>
                <w:rFonts w:hint="eastAsia" w:ascii="Nimbus Roman No9 L" w:hAnsi="Nimbus Roman No9 L" w:eastAsia="方正仿宋_GBK" w:cs="Nimbus Roman No9 L"/>
                <w:color w:val="000000" w:themeColor="text1"/>
                <w:spacing w:val="-6"/>
                <w:sz w:val="24"/>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spacing w:val="-6"/>
                <w:sz w:val="24"/>
                <w14:textFill>
                  <w14:solidFill>
                    <w14:schemeClr w14:val="tx1"/>
                  </w14:solidFill>
                </w14:textFill>
              </w:rPr>
              <w:t>→官田花园→民政局→</w:t>
            </w: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全程30公里，新能源车2台</w:t>
            </w:r>
          </w:p>
        </w:tc>
      </w:tr>
      <w:tr>
        <w:tblPrEx>
          <w:tblLayout w:type="fixed"/>
          <w:tblCellMar>
            <w:top w:w="0" w:type="dxa"/>
            <w:left w:w="108" w:type="dxa"/>
            <w:bottom w:w="0" w:type="dxa"/>
            <w:right w:w="108" w:type="dxa"/>
          </w:tblCellMar>
        </w:tblPrEx>
        <w:trPr>
          <w:trHeight w:val="1470"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17号线（往返）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仲石</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民政局→官田花园→邮政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val="en-US" w:eastAsia="zh-CN"/>
                <w14:textFill>
                  <w14:solidFill>
                    <w14:schemeClr w14:val="tx1"/>
                  </w14:solidFill>
                </w14:textFill>
              </w:rPr>
              <w:t>县林业局</w:t>
            </w:r>
            <w:r>
              <w:rPr>
                <w:rFonts w:hint="default" w:ascii="Nimbus Roman No9 L" w:hAnsi="Nimbus Roman No9 L" w:eastAsia="方正仿宋_GBK" w:cs="Nimbus Roman No9 L"/>
                <w:color w:val="000000" w:themeColor="text1"/>
                <w14:textFill>
                  <w14:solidFill>
                    <w14:schemeClr w14:val="tx1"/>
                  </w14:solidFill>
                </w14:textFill>
              </w:rPr>
              <w:t>→大柘镇</w:t>
            </w:r>
            <w:r>
              <w:rPr>
                <w:rFonts w:hint="eastAsia" w:ascii="Nimbus Roman No9 L" w:hAnsi="Nimbus Roman No9 L" w:eastAsia="方正仿宋_GBK" w:cs="Nimbus Roman No9 L"/>
                <w:color w:val="000000" w:themeColor="text1"/>
                <w:lang w:eastAsia="zh-CN"/>
                <w14:textFill>
                  <w14:solidFill>
                    <w14:schemeClr w14:val="tx1"/>
                  </w14:solidFill>
                </w14:textFill>
              </w:rPr>
              <w:t>人民</w:t>
            </w:r>
            <w:r>
              <w:rPr>
                <w:rFonts w:hint="default" w:ascii="Nimbus Roman No9 L" w:hAnsi="Nimbus Roman No9 L" w:eastAsia="方正仿宋_GBK" w:cs="Nimbus Roman No9 L"/>
                <w:color w:val="000000" w:themeColor="text1"/>
                <w14:textFill>
                  <w14:solidFill>
                    <w14:schemeClr w14:val="tx1"/>
                  </w14:solidFill>
                </w14:textFill>
              </w:rPr>
              <w:t>政府→</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交通</w:t>
            </w:r>
            <w:r>
              <w:rPr>
                <w:rFonts w:hint="eastAsia" w:ascii="Nimbus Roman No9 L" w:hAnsi="Nimbus Roman No9 L" w:eastAsia="方正仿宋_GBK" w:cs="Nimbus Roman No9 L"/>
                <w:color w:val="000000" w:themeColor="text1"/>
                <w:lang w:eastAsia="zh-CN"/>
                <w14:textFill>
                  <w14:solidFill>
                    <w14:schemeClr w14:val="tx1"/>
                  </w14:solidFill>
                </w14:textFill>
              </w:rPr>
              <w:t>运输</w:t>
            </w:r>
            <w:r>
              <w:rPr>
                <w:rFonts w:hint="default" w:ascii="Nimbus Roman No9 L" w:hAnsi="Nimbus Roman No9 L" w:eastAsia="方正仿宋_GBK" w:cs="Nimbus Roman No9 L"/>
                <w:color w:val="000000" w:themeColor="text1"/>
                <w14:textFill>
                  <w14:solidFill>
                    <w14:schemeClr w14:val="tx1"/>
                  </w14:solidFill>
                </w14:textFill>
              </w:rPr>
              <w:t>局→平岗路→榕树岗→公路站→通达油站→南药公司→田螺纽→伯公坳→吾良畲</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4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全程15公里，常规能源车1台</w:t>
            </w:r>
          </w:p>
        </w:tc>
      </w:tr>
      <w:tr>
        <w:tblPrEx>
          <w:tblLayout w:type="fixed"/>
          <w:tblCellMar>
            <w:top w:w="0" w:type="dxa"/>
            <w:left w:w="108" w:type="dxa"/>
            <w:bottom w:w="0" w:type="dxa"/>
            <w:right w:w="108" w:type="dxa"/>
          </w:tblCellMar>
        </w:tblPrEx>
        <w:trPr>
          <w:trHeight w:val="624"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18号线（往返）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汽车总站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黄畲村</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sz w:val="24"/>
                <w:szCs w:val="24"/>
                <w:lang w:val="en-US" w:eastAsia="zh-CN"/>
                <w14:textFill>
                  <w14:solidFill>
                    <w14:schemeClr w14:val="tx1"/>
                  </w14:solidFill>
                </w14:textFill>
              </w:rPr>
              <w:t>县妇保院</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民政局→官田广场→邮政</w:t>
            </w:r>
            <w:r>
              <w:rPr>
                <w:rFonts w:hint="eastAsia" w:ascii="Nimbus Roman No9 L" w:hAnsi="Nimbus Roman No9 L" w:eastAsia="方正仿宋_GBK" w:cs="Nimbus Roman No9 L"/>
                <w:color w:val="000000" w:themeColor="text1"/>
                <w:lang w:eastAsia="zh-CN"/>
                <w14:textFill>
                  <w14:solidFill>
                    <w14:schemeClr w14:val="tx1"/>
                  </w14:solidFill>
                </w14:textFill>
              </w:rPr>
              <w:t>平远分公司</w:t>
            </w:r>
            <w:r>
              <w:rPr>
                <w:rFonts w:hint="default" w:ascii="Nimbus Roman No9 L" w:hAnsi="Nimbus Roman No9 L" w:eastAsia="方正仿宋_GBK" w:cs="Nimbus Roman No9 L"/>
                <w:color w:val="000000" w:themeColor="text1"/>
                <w14:textFill>
                  <w14:solidFill>
                    <w14:schemeClr w14:val="tx1"/>
                  </w14:solidFill>
                </w14:textFill>
              </w:rPr>
              <w:t>→老车站→</w:t>
            </w:r>
            <w:r>
              <w:rPr>
                <w:rFonts w:hint="eastAsia" w:ascii="Nimbus Roman No9 L" w:hAnsi="Nimbus Roman No9 L" w:eastAsia="方正仿宋_GBK" w:cs="Nimbus Roman No9 L"/>
                <w:color w:val="000000" w:themeColor="text1"/>
                <w:lang w:eastAsia="zh-CN"/>
                <w14:textFill>
                  <w14:solidFill>
                    <w14:schemeClr w14:val="tx1"/>
                  </w14:solidFill>
                </w14:textFill>
              </w:rPr>
              <w:t>县</w:t>
            </w:r>
            <w:r>
              <w:rPr>
                <w:rFonts w:hint="default" w:ascii="Nimbus Roman No9 L" w:hAnsi="Nimbus Roman No9 L" w:eastAsia="方正仿宋_GBK" w:cs="Nimbus Roman No9 L"/>
                <w:color w:val="000000" w:themeColor="text1"/>
                <w14:textFill>
                  <w14:solidFill>
                    <w14:schemeClr w14:val="tx1"/>
                  </w14:solidFill>
                </w14:textFill>
              </w:rPr>
              <w:t>交通</w:t>
            </w:r>
            <w:r>
              <w:rPr>
                <w:rFonts w:hint="eastAsia" w:ascii="Nimbus Roman No9 L" w:hAnsi="Nimbus Roman No9 L" w:eastAsia="方正仿宋_GBK" w:cs="Nimbus Roman No9 L"/>
                <w:color w:val="000000" w:themeColor="text1"/>
                <w:lang w:eastAsia="zh-CN"/>
                <w14:textFill>
                  <w14:solidFill>
                    <w14:schemeClr w14:val="tx1"/>
                  </w14:solidFill>
                </w14:textFill>
              </w:rPr>
              <w:t>运输</w:t>
            </w:r>
            <w:r>
              <w:rPr>
                <w:rFonts w:hint="default" w:ascii="Nimbus Roman No9 L" w:hAnsi="Nimbus Roman No9 L" w:eastAsia="方正仿宋_GBK" w:cs="Nimbus Roman No9 L"/>
                <w:color w:val="000000" w:themeColor="text1"/>
                <w14:textFill>
                  <w14:solidFill>
                    <w14:schemeClr w14:val="tx1"/>
                  </w14:solidFill>
                </w14:textFill>
              </w:rPr>
              <w:t>局→新岭路→</w:t>
            </w:r>
            <w:r>
              <w:rPr>
                <w:rFonts w:hint="eastAsia" w:ascii="Nimbus Roman No9 L" w:hAnsi="Nimbus Roman No9 L" w:eastAsia="方正仿宋_GBK" w:cs="Nimbus Roman No9 L"/>
                <w:color w:val="000000" w:themeColor="text1"/>
                <w:lang w:eastAsia="zh-CN"/>
                <w14:textFill>
                  <w14:solidFill>
                    <w14:schemeClr w14:val="tx1"/>
                  </w14:solidFill>
                </w14:textFill>
              </w:rPr>
              <w:t>县税务局</w:t>
            </w:r>
            <w:r>
              <w:rPr>
                <w:rFonts w:hint="default" w:ascii="Nimbus Roman No9 L" w:hAnsi="Nimbus Roman No9 L" w:eastAsia="方正仿宋_GBK" w:cs="Nimbus Roman No9 L"/>
                <w:color w:val="000000" w:themeColor="text1"/>
                <w14:textFill>
                  <w14:solidFill>
                    <w14:schemeClr w14:val="tx1"/>
                  </w14:solidFill>
                </w14:textFill>
              </w:rPr>
              <w:t>→平城花园→鑫宝汽车→通达油站→南药公司→田螺纽→新茶亭→吾良畲→良畲→盐布潭→下村→大士宫→中行镇→快湖→底背村→金穗山庄→樟田→原八尺收费站→八尺代售票点→八尺车站→肥田→石丰→南塘→个竹→凤头→凤仪</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全程40公里，常规能源车1台</w:t>
            </w:r>
          </w:p>
        </w:tc>
      </w:tr>
      <w:tr>
        <w:tblPrEx>
          <w:tblLayout w:type="fixed"/>
          <w:tblCellMar>
            <w:top w:w="0" w:type="dxa"/>
            <w:left w:w="108" w:type="dxa"/>
            <w:bottom w:w="0" w:type="dxa"/>
            <w:right w:w="108" w:type="dxa"/>
          </w:tblCellMar>
        </w:tblPrEx>
        <w:trPr>
          <w:trHeight w:val="624"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19号线（往返）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石正站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安仁村</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冬青实验中学→安南</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全程5公里，常规能源车1台</w:t>
            </w:r>
          </w:p>
        </w:tc>
      </w:tr>
      <w:tr>
        <w:tblPrEx>
          <w:tblLayout w:type="fixed"/>
          <w:tblCellMar>
            <w:top w:w="0" w:type="dxa"/>
            <w:left w:w="108" w:type="dxa"/>
            <w:bottom w:w="0" w:type="dxa"/>
            <w:right w:w="108" w:type="dxa"/>
          </w:tblCellMar>
        </w:tblPrEx>
        <w:trPr>
          <w:trHeight w:val="624"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石正站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马山村</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中东→潭头</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全程3公里，新能源车1台</w:t>
            </w:r>
          </w:p>
        </w:tc>
      </w:tr>
      <w:tr>
        <w:tblPrEx>
          <w:tblLayout w:type="fixed"/>
          <w:tblCellMar>
            <w:top w:w="0" w:type="dxa"/>
            <w:left w:w="108" w:type="dxa"/>
            <w:bottom w:w="0" w:type="dxa"/>
            <w:right w:w="108" w:type="dxa"/>
          </w:tblCellMar>
        </w:tblPrEx>
        <w:trPr>
          <w:trHeight w:val="624" w:hRule="atLeast"/>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21号线（往返）</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石正站</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上丰村</w:t>
            </w:r>
          </w:p>
        </w:tc>
        <w:tc>
          <w:tcPr>
            <w:tcW w:w="57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先锋</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Nimbus Roman No9 L" w:hAnsi="Nimbus Roman No9 L" w:eastAsia="方正仿宋_GBK" w:cs="Nimbus Roman No9 L"/>
                <w:color w:val="000000" w:themeColor="text1"/>
                <w:lang w:val="en-US" w:eastAsia="zh-CN"/>
                <w14:textFill>
                  <w14:solidFill>
                    <w14:schemeClr w14:val="tx1"/>
                  </w14:solidFill>
                </w14:textFill>
              </w:rPr>
            </w:pPr>
            <w:r>
              <w:rPr>
                <w:rFonts w:hint="default" w:ascii="Nimbus Roman No9 L" w:hAnsi="Nimbus Roman No9 L" w:eastAsia="方正仿宋_GBK" w:cs="Nimbus Roman No9 L"/>
                <w:color w:val="000000" w:themeColor="text1"/>
                <w14:textFill>
                  <w14:solidFill>
                    <w14:schemeClr w14:val="tx1"/>
                  </w14:solidFill>
                </w14:textFill>
              </w:rPr>
              <w:t>全程2.5公里，新能源车</w:t>
            </w:r>
            <w:r>
              <w:rPr>
                <w:rFonts w:hint="eastAsia" w:ascii="Nimbus Roman No9 L" w:hAnsi="Nimbus Roman No9 L" w:eastAsia="方正仿宋_GBK" w:cs="Nimbus Roman No9 L"/>
                <w:color w:val="000000" w:themeColor="text1"/>
                <w:lang w:val="en-US" w:eastAsia="zh-CN"/>
                <w14:textFill>
                  <w14:solidFill>
                    <w14:schemeClr w14:val="tx1"/>
                  </w14:solidFill>
                </w14:textFill>
              </w:rPr>
              <w:t>1台</w:t>
            </w:r>
          </w:p>
        </w:tc>
      </w:tr>
    </w:tbl>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rPr>
      </w:pPr>
      <w:bookmarkStart w:id="40" w:name="_Toc7235"/>
      <w:r>
        <w:rPr>
          <w:rFonts w:hint="eastAsia" w:ascii="Nimbus Roman No9 L" w:hAnsi="Nimbus Roman No9 L" w:eastAsia="方正楷体_GBK" w:cs="Nimbus Roman No9 L"/>
          <w:b w:val="0"/>
          <w:bCs/>
          <w:color w:val="auto"/>
          <w:sz w:val="32"/>
          <w:szCs w:val="32"/>
        </w:rPr>
        <w:t>5.</w:t>
      </w:r>
      <w:r>
        <w:rPr>
          <w:rFonts w:hint="eastAsia" w:ascii="Nimbus Roman No9 L" w:hAnsi="Nimbus Roman No9 L" w:eastAsia="方正楷体_GBK" w:cs="Nimbus Roman No9 L"/>
          <w:b w:val="0"/>
          <w:bCs/>
          <w:color w:val="auto"/>
          <w:sz w:val="32"/>
          <w:szCs w:val="32"/>
          <w:lang w:val="en-US" w:eastAsia="zh-CN"/>
        </w:rPr>
        <w:t>8</w:t>
      </w:r>
      <w:r>
        <w:rPr>
          <w:rFonts w:hint="eastAsia" w:ascii="Nimbus Roman No9 L" w:hAnsi="Nimbus Roman No9 L" w:eastAsia="方正楷体_GBK" w:cs="Nimbus Roman No9 L"/>
          <w:b w:val="0"/>
          <w:bCs/>
          <w:color w:val="auto"/>
          <w:sz w:val="32"/>
          <w:szCs w:val="32"/>
          <w:lang w:eastAsia="zh-CN"/>
        </w:rPr>
        <w:t>安全</w:t>
      </w:r>
      <w:r>
        <w:rPr>
          <w:rFonts w:hint="eastAsia" w:ascii="Nimbus Roman No9 L" w:hAnsi="Nimbus Roman No9 L" w:eastAsia="方正楷体_GBK" w:cs="Nimbus Roman No9 L"/>
          <w:b w:val="0"/>
          <w:bCs/>
          <w:color w:val="auto"/>
          <w:sz w:val="32"/>
          <w:szCs w:val="32"/>
        </w:rPr>
        <w:t>发展规划</w:t>
      </w:r>
      <w:bookmarkEnd w:id="40"/>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41" w:name="_Toc60844258"/>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5.8.1</w:t>
      </w:r>
      <w:bookmarkEnd w:id="41"/>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总体思路</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党的十九大报告提出“树立安全发展理念，弘扬生命至上、安全第一的思想，健全公共安全体系，完善安全生产责任制，坚决遏制重特大安全事故，提升防灾减灾救灾能力”，并明确提出加强大数据、新技术的应用。按照建设交通强国的总体部署，坚持以人民为中心的发展思想，树牢安全发展理念，弘扬生命至上、安全第一的思想，坚守红线底线，有效管控重大风险，强力治理重大隐患，着力提升本质安全水平，完善安全生产体系，力争解决或缓解当前影响和制约道路交通安全的基础性、源头性、根本性问题。</w:t>
      </w:r>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5.8.2工作目标</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到2025年，安全基础设施、规章制度建设、责任体系建设更加完善，防范化解重大风险能力、安全科技实力、安全文化水平、应急处置效能持续提升，有效遏制生产安全事故的发生。</w:t>
      </w:r>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5.8.3主要任务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一是加强基础设施建设，推动实现本质安全。包括加强工程建设施工安全监管、加强道路运输运营环境整治、加强基础设施安全防护投入、强化交通基础设施运营养护、加强水上交通安全水平提升、强化职责内铁路运营安全等任务。二是加强责任体系建设，强化各方责任落实。包括压实企业安全生产主体责任、健全企业安全生产责任追究机制、健全安全生产监管责任体系、健全安全生产监管责任追究机制等任务。三是加强双控机制建设，提高事故防控能力。包括健全风险预防控制机制、建立安全生产形势分析研判机制、健全隐患排查治理机制、健全事故调查整改机制等任务。四是加强安全科技建设，推进科技兴安战略。包括建立安全科技创新机制、加强安全科技成果推广、加快提升信息化管理水平等任务。五是加强安全文化建设，营造安全良好氛围。包括加强行业安全宣传、加强行业安全文化建设、加强从业人员安全教育培训等任务。六是加强应急能力建设，增强应急救援效能。包括完善应急管理机制、健全应急预案体系、加强应急设施建设、加强应急信息化应用、加强应急队伍建设等任务。</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rPr>
      </w:pPr>
      <w:bookmarkStart w:id="42" w:name="_Toc11874"/>
      <w:r>
        <w:rPr>
          <w:rFonts w:hint="eastAsia" w:ascii="Nimbus Roman No9 L" w:hAnsi="Nimbus Roman No9 L" w:eastAsia="方正楷体_GBK" w:cs="Nimbus Roman No9 L"/>
          <w:b w:val="0"/>
          <w:bCs/>
          <w:color w:val="auto"/>
          <w:sz w:val="32"/>
          <w:szCs w:val="32"/>
        </w:rPr>
        <w:t>5.</w:t>
      </w:r>
      <w:r>
        <w:rPr>
          <w:rFonts w:hint="eastAsia" w:ascii="Nimbus Roman No9 L" w:hAnsi="Nimbus Roman No9 L" w:eastAsia="方正楷体_GBK" w:cs="Nimbus Roman No9 L"/>
          <w:b w:val="0"/>
          <w:bCs/>
          <w:color w:val="auto"/>
          <w:sz w:val="32"/>
          <w:szCs w:val="32"/>
          <w:lang w:val="en-US" w:eastAsia="zh-CN"/>
        </w:rPr>
        <w:t>9</w:t>
      </w:r>
      <w:r>
        <w:rPr>
          <w:rFonts w:hint="eastAsia" w:ascii="Nimbus Roman No9 L" w:hAnsi="Nimbus Roman No9 L" w:eastAsia="方正楷体_GBK" w:cs="Nimbus Roman No9 L"/>
          <w:b w:val="0"/>
          <w:bCs/>
          <w:color w:val="auto"/>
          <w:sz w:val="32"/>
          <w:szCs w:val="32"/>
        </w:rPr>
        <w:t>可持续发展规划</w:t>
      </w:r>
      <w:bookmarkEnd w:id="42"/>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43" w:name="_Toc60844256"/>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5.9.1智慧交通建设</w:t>
      </w:r>
      <w:bookmarkEnd w:id="43"/>
    </w:p>
    <w:p>
      <w:pPr>
        <w:keepNext w:val="0"/>
        <w:keepLines w:val="0"/>
        <w:pageBreakBefore w:val="0"/>
        <w:widowControl w:val="0"/>
        <w:tabs>
          <w:tab w:val="left" w:pos="780"/>
        </w:tabs>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加强智慧交通顶层设计，探索建设“智慧”交通大脑工程，推进平远县综合交通指挥中心建设，整合共享数据资源，接入公路交通、道路运输、铁路运输、邮政信息、综合管理和其他行业管理等政府信息资源，推动交通运输管理一体化、便捷化、智能化、移动化，进一步提升交通运输行业治理能力与服务水平。</w:t>
      </w:r>
    </w:p>
    <w:p>
      <w:pPr>
        <w:keepNext w:val="0"/>
        <w:keepLines w:val="0"/>
        <w:pageBreakBefore w:val="0"/>
        <w:widowControl w:val="0"/>
        <w:tabs>
          <w:tab w:val="left" w:pos="780"/>
        </w:tabs>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优化完善非现场执法监控系统，积极探索“大数据+综合执法”，合理布局、规范建设治理超限超载非现场执法监测点，运用治超非现场执法监测大数据高效打击非法营运等行为。“十四五”时期，规划建设治理超限超载非现场执法监测点6个，如表5-11所示；具体位置如图5-7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表5-11  平远县十四五治理超限超载非现场执法监测点</w:t>
      </w:r>
    </w:p>
    <w:tbl>
      <w:tblPr>
        <w:tblStyle w:val="22"/>
        <w:tblW w:w="93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7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351" w:type="dxa"/>
            <w:shd w:val="clear" w:color="auto" w:fill="DEEAF6" w:themeFill="accent1" w:themeFillTint="33"/>
            <w:vAlign w:val="center"/>
          </w:tcPr>
          <w:p>
            <w:pPr>
              <w:pStyle w:val="35"/>
              <w:rPr>
                <w:color w:val="auto"/>
              </w:rPr>
            </w:pPr>
            <w:r>
              <w:rPr>
                <w:rFonts w:hint="eastAsia"/>
                <w:color w:val="auto"/>
              </w:rPr>
              <w:t>编号</w:t>
            </w:r>
          </w:p>
        </w:tc>
        <w:tc>
          <w:tcPr>
            <w:tcW w:w="7993" w:type="dxa"/>
            <w:shd w:val="clear" w:color="auto" w:fill="DEEAF6" w:themeFill="accent1" w:themeFillTint="33"/>
            <w:vAlign w:val="center"/>
          </w:tcPr>
          <w:p>
            <w:pPr>
              <w:pStyle w:val="35"/>
              <w:rPr>
                <w:color w:val="auto"/>
              </w:rPr>
            </w:pPr>
            <w:r>
              <w:rPr>
                <w:rFonts w:hint="eastAsia"/>
                <w:color w:val="auto"/>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35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7993"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G358差干非现场执法监测点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35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w:t>
            </w:r>
          </w:p>
        </w:tc>
        <w:tc>
          <w:tcPr>
            <w:tcW w:w="7993"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G206八尺非现场执法监测点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35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w:t>
            </w:r>
          </w:p>
        </w:tc>
        <w:tc>
          <w:tcPr>
            <w:tcW w:w="7993"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S332大柘非现场执法监测点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35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w:t>
            </w:r>
          </w:p>
        </w:tc>
        <w:tc>
          <w:tcPr>
            <w:tcW w:w="7993"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S225热柘非现场执法监测点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35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w:t>
            </w:r>
          </w:p>
        </w:tc>
        <w:tc>
          <w:tcPr>
            <w:tcW w:w="7993"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G206长田非现场执法监测点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351"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w:t>
            </w:r>
          </w:p>
        </w:tc>
        <w:tc>
          <w:tcPr>
            <w:tcW w:w="7993" w:type="dxa"/>
            <w:shd w:val="clear" w:color="auto" w:fill="auto"/>
            <w:vAlign w:val="center"/>
          </w:tcPr>
          <w:p>
            <w:pPr>
              <w:pStyle w:val="3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S225石正非现场执法监测点</w:t>
            </w:r>
          </w:p>
        </w:tc>
      </w:tr>
    </w:tbl>
    <w:p>
      <w:pPr>
        <w:widowControl/>
        <w:spacing w:line="240" w:lineRule="auto"/>
        <w:ind w:firstLine="0" w:firstLineChars="0"/>
        <w:jc w:val="center"/>
        <w:rPr>
          <w:rFonts w:eastAsia="黑体" w:cstheme="minorBidi"/>
          <w:b/>
          <w:color w:val="auto"/>
          <w:sz w:val="32"/>
        </w:rPr>
      </w:pPr>
      <w:r>
        <w:rPr>
          <w:rFonts w:eastAsia="黑体" w:cstheme="minorBidi"/>
          <w:b/>
          <w:color w:val="auto"/>
          <w:sz w:val="32"/>
        </w:rPr>
        <w:drawing>
          <wp:inline distT="0" distB="0" distL="0" distR="0">
            <wp:extent cx="5561330" cy="7432675"/>
            <wp:effectExtent l="0" t="0" r="1270"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extLst>
                        <a:ext uri="{28A0092B-C50C-407E-A947-70E740481C1C}">
                          <a14:useLocalDpi xmlns:a14="http://schemas.microsoft.com/office/drawing/2010/main" val="0"/>
                        </a:ext>
                      </a:extLst>
                    </a:blip>
                    <a:srcRect l="8500" t="10431" r="8589" b="6009"/>
                    <a:stretch>
                      <a:fillRect/>
                    </a:stretch>
                  </pic:blipFill>
                  <pic:spPr>
                    <a:xfrm>
                      <a:off x="0" y="0"/>
                      <a:ext cx="5561330" cy="7432675"/>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图5-7  “十四五”平远县综合交通非现场执法布点图</w:t>
      </w:r>
    </w:p>
    <w:p>
      <w:pPr>
        <w:pStyle w:val="5"/>
        <w:keepNext w:val="0"/>
        <w:keepLines w:val="0"/>
        <w:pageBreakBefore w:val="0"/>
        <w:widowControl w:val="0"/>
        <w:kinsoku/>
        <w:wordWrap/>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44" w:name="_Toc60844257"/>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5.9.2绿色交通建设</w:t>
      </w:r>
      <w:bookmarkEnd w:id="44"/>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持续开展交通运输结构优化。坚持公交引导发展，有效提升城市公交机动化出行比例，持续推动发展旅客联程联运和货物运输结构调整，促进集约高效低碳客货运输方式发展。加强新能源配套设施建设。电动汽车充电设施覆盖具备条件的公交首末站、三级以上客运站，公交站场和充电设施要同步规划、同步建设。推动纯电动化车辆延伸到出租汽车、城市配送、城乡物流、营运货车等。</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建设绿色示范工程。加强施工过程中的植被与表土资源保护和利用，推广取弃土与改地、造地、复垦等综合措施，做好临时用地的生态恢复。严格施工环境保护，严控施工污染，优先采用低碳、环保、节能的新材料、新技术。</w:t>
      </w:r>
    </w:p>
    <w:p>
      <w:pPr>
        <w:pStyle w:val="5"/>
        <w:keepNext w:val="0"/>
        <w:keepLines w:val="0"/>
        <w:pageBreakBefore w:val="0"/>
        <w:widowControl w:val="0"/>
        <w:kinsoku/>
        <w:wordWrap/>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5.9.3推进公路体制机制改革</w:t>
      </w:r>
    </w:p>
    <w:p>
      <w:pPr>
        <w:keepNext w:val="0"/>
        <w:keepLines w:val="0"/>
        <w:pageBreakBefore w:val="0"/>
        <w:widowControl w:val="0"/>
        <w:kinsoku/>
        <w:wordWrap/>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全面推行“路长制”，建立“总路长+分级路长”路长体系，压实各级政府责任，加快推进公路治理体系和治理能力现代化，加快构建以辖区政府主导，交通运输部门牵头，相关职能部门协同配合的工作机制，着力解决公路“脏、乱、差、堵”等群众反映强烈的突出问题，创建“畅、安、舒、美”的公路环境。</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lang w:val="en-US" w:eastAsia="zh-CN"/>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深化农村公路养护体制改革，健全“县镇为主、行业指导、部门协作、社会参与”的农村公路养护工作机制，建立事权与责任相适应的农村公路养护体制，建立以公共财政为主的农村公路养护资金保障机制。落实小修保养常态化、中修大修专业化、安全隐患排查治理制度化，实现农村公路养护全覆盖。推进农村公路养护市场化改革，支持采用政府采购等方式开展农村公路养护，实行管养分离。提高农村公路养护机械化、专业化、规范化水平，加快建立专业的农村公路养护队伍。</w:t>
      </w:r>
    </w:p>
    <w:p>
      <w:pPr>
        <w:pStyle w:val="3"/>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b w:val="0"/>
          <w:bCs/>
          <w:color w:val="auto"/>
          <w:sz w:val="24"/>
          <w:szCs w:val="24"/>
        </w:rPr>
      </w:pPr>
      <w:bookmarkStart w:id="45" w:name="_Toc18860"/>
      <w:r>
        <w:rPr>
          <w:rFonts w:hint="eastAsia" w:ascii="方正黑体_GBK" w:hAnsi="方正黑体_GBK" w:eastAsia="方正黑体_GBK" w:cs="方正黑体_GBK"/>
          <w:b w:val="0"/>
          <w:bCs/>
          <w:color w:val="auto"/>
        </w:rPr>
        <w:t>六、重点任务</w:t>
      </w:r>
      <w:bookmarkEnd w:id="45"/>
    </w:p>
    <w:p>
      <w:pPr>
        <w:pStyle w:val="4"/>
        <w:pageBreakBefore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46" w:name="_Toc12235"/>
      <w:r>
        <w:rPr>
          <w:rFonts w:hint="default" w:ascii="Nimbus Roman No9 L" w:hAnsi="Nimbus Roman No9 L" w:eastAsia="方正楷体_GBK" w:cs="Nimbus Roman No9 L"/>
          <w:b w:val="0"/>
          <w:bCs/>
          <w:color w:val="auto"/>
          <w:sz w:val="32"/>
          <w:szCs w:val="32"/>
        </w:rPr>
        <w:t>6.1构建</w:t>
      </w:r>
      <w:r>
        <w:rPr>
          <w:rFonts w:hint="eastAsia" w:ascii="Nimbus Roman No9 L" w:hAnsi="Nimbus Roman No9 L" w:eastAsia="方正楷体_GBK" w:cs="Nimbus Roman No9 L"/>
          <w:b w:val="0"/>
          <w:bCs/>
          <w:color w:val="auto"/>
          <w:sz w:val="32"/>
          <w:szCs w:val="32"/>
          <w:lang w:eastAsia="zh-CN"/>
        </w:rPr>
        <w:t>“</w:t>
      </w:r>
      <w:r>
        <w:rPr>
          <w:rFonts w:hint="default" w:ascii="Nimbus Roman No9 L" w:hAnsi="Nimbus Roman No9 L" w:eastAsia="方正楷体_GBK" w:cs="Nimbus Roman No9 L"/>
          <w:b w:val="0"/>
          <w:bCs/>
          <w:color w:val="auto"/>
          <w:sz w:val="32"/>
          <w:szCs w:val="32"/>
        </w:rPr>
        <w:t>三纵一横</w:t>
      </w:r>
      <w:r>
        <w:rPr>
          <w:rFonts w:hint="eastAsia" w:ascii="Nimbus Roman No9 L" w:hAnsi="Nimbus Roman No9 L" w:eastAsia="方正楷体_GBK" w:cs="Nimbus Roman No9 L"/>
          <w:b w:val="0"/>
          <w:bCs/>
          <w:color w:val="auto"/>
          <w:sz w:val="32"/>
          <w:szCs w:val="32"/>
          <w:lang w:eastAsia="zh-CN"/>
        </w:rPr>
        <w:t>”</w:t>
      </w:r>
      <w:r>
        <w:rPr>
          <w:rFonts w:hint="default" w:ascii="Nimbus Roman No9 L" w:hAnsi="Nimbus Roman No9 L" w:eastAsia="方正楷体_GBK" w:cs="Nimbus Roman No9 L"/>
          <w:b w:val="0"/>
          <w:bCs/>
          <w:color w:val="auto"/>
          <w:sz w:val="32"/>
          <w:szCs w:val="32"/>
        </w:rPr>
        <w:t>高快速交通运输通道</w:t>
      </w:r>
      <w:bookmarkEnd w:id="46"/>
    </w:p>
    <w:p>
      <w:pPr>
        <w:pageBreakBefore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纵向通道一：济广高速+平武高速+G358</w:t>
      </w:r>
    </w:p>
    <w:p>
      <w:pPr>
        <w:pageBreakBefore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在县内原有济广高速路段的基础上，全力推进平（远）武（平）高速立项建设。推动济广高速、平武高速、G358之间的交叉互联、融会贯通，进而形成贯穿全县的第一条纵向通道。</w:t>
      </w:r>
    </w:p>
    <w:p>
      <w:pPr>
        <w:pageBreakBefore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武高速起点位于差干镇湍溪村（闽粤界），对接福建省规划建设的浦城至武平高速公路，途经差干镇、上举镇、东石镇，终点位于大柘镇伯公坳，与已建成通车的G35济广高速公路相接。设计时速100km/h，双向四车道，全长42.2公里，总投资约63.3亿元。“纵向一”通道的重点建设项目如表6-1所示。</w:t>
      </w:r>
    </w:p>
    <w:p>
      <w:pPr>
        <w:pStyle w:val="27"/>
        <w:pageBreakBefore w:val="0"/>
        <w:kinsoku/>
        <w:wordWrap/>
        <w:overflowPunct/>
        <w:topLinePunct w:val="0"/>
        <w:autoSpaceDE/>
        <w:autoSpaceDN/>
        <w:bidi w:val="0"/>
        <w:adjustRightInd/>
        <w:snapToGrid/>
        <w:spacing w:before="0" w:beforeLines="0" w:line="560" w:lineRule="exact"/>
        <w:textAlignment w:val="auto"/>
        <w:rPr>
          <w:rFonts w:hint="default" w:ascii="Nimbus Roman No9 L" w:hAnsi="Nimbus Roman No9 L" w:eastAsia="方正黑体_GBK" w:cs="Nimbus Roman No9 L"/>
          <w:b w:val="0"/>
          <w:bCs/>
          <w:color w:val="auto"/>
          <w:kern w:val="2"/>
          <w:sz w:val="32"/>
          <w:szCs w:val="21"/>
          <w:lang w:val="en-US" w:eastAsia="zh-CN" w:bidi="ar-SA"/>
        </w:rPr>
      </w:pPr>
      <w:r>
        <w:rPr>
          <w:rFonts w:hint="default" w:ascii="Nimbus Roman No9 L" w:hAnsi="Nimbus Roman No9 L" w:eastAsia="方正黑体_GBK" w:cs="Nimbus Roman No9 L"/>
          <w:b w:val="0"/>
          <w:bCs/>
          <w:color w:val="auto"/>
          <w:kern w:val="2"/>
          <w:sz w:val="32"/>
          <w:szCs w:val="21"/>
          <w:lang w:val="en-US" w:eastAsia="zh-CN" w:bidi="ar-SA"/>
        </w:rPr>
        <w:t xml:space="preserve">表6-1  </w:t>
      </w:r>
      <w:r>
        <w:rPr>
          <w:rFonts w:hint="eastAsia" w:ascii="Nimbus Roman No9 L" w:hAnsi="Nimbus Roman No9 L" w:eastAsia="方正黑体_GBK" w:cs="Nimbus Roman No9 L"/>
          <w:b w:val="0"/>
          <w:bCs/>
          <w:color w:val="auto"/>
          <w:kern w:val="2"/>
          <w:sz w:val="32"/>
          <w:szCs w:val="21"/>
          <w:lang w:val="en-US" w:eastAsia="zh-CN" w:bidi="ar-SA"/>
        </w:rPr>
        <w:t>“</w:t>
      </w:r>
      <w:r>
        <w:rPr>
          <w:rFonts w:hint="default" w:ascii="Nimbus Roman No9 L" w:hAnsi="Nimbus Roman No9 L" w:eastAsia="方正黑体_GBK" w:cs="Nimbus Roman No9 L"/>
          <w:b w:val="0"/>
          <w:bCs/>
          <w:color w:val="auto"/>
          <w:kern w:val="2"/>
          <w:sz w:val="32"/>
          <w:szCs w:val="21"/>
          <w:lang w:val="en-US" w:eastAsia="zh-CN" w:bidi="ar-SA"/>
        </w:rPr>
        <w:t>纵向一</w:t>
      </w:r>
      <w:r>
        <w:rPr>
          <w:rFonts w:hint="eastAsia" w:ascii="Nimbus Roman No9 L" w:hAnsi="Nimbus Roman No9 L" w:eastAsia="方正黑体_GBK" w:cs="Nimbus Roman No9 L"/>
          <w:b w:val="0"/>
          <w:bCs/>
          <w:color w:val="auto"/>
          <w:kern w:val="2"/>
          <w:sz w:val="32"/>
          <w:szCs w:val="21"/>
          <w:lang w:val="en-US" w:eastAsia="zh-CN" w:bidi="ar-SA"/>
        </w:rPr>
        <w:t>”</w:t>
      </w:r>
      <w:r>
        <w:rPr>
          <w:rFonts w:hint="default" w:ascii="Nimbus Roman No9 L" w:hAnsi="Nimbus Roman No9 L" w:eastAsia="方正黑体_GBK" w:cs="Nimbus Roman No9 L"/>
          <w:b w:val="0"/>
          <w:bCs/>
          <w:color w:val="auto"/>
          <w:kern w:val="2"/>
          <w:sz w:val="32"/>
          <w:szCs w:val="21"/>
          <w:lang w:val="en-US" w:eastAsia="zh-CN" w:bidi="ar-SA"/>
        </w:rPr>
        <w:t>重点建设项目表</w:t>
      </w:r>
    </w:p>
    <w:tbl>
      <w:tblPr>
        <w:tblStyle w:val="22"/>
        <w:tblW w:w="9570" w:type="dxa"/>
        <w:jc w:val="center"/>
        <w:tblInd w:w="0" w:type="dxa"/>
        <w:tblLayout w:type="fixed"/>
        <w:tblCellMar>
          <w:top w:w="0" w:type="dxa"/>
          <w:left w:w="108" w:type="dxa"/>
          <w:bottom w:w="0" w:type="dxa"/>
          <w:right w:w="108" w:type="dxa"/>
        </w:tblCellMar>
      </w:tblPr>
      <w:tblGrid>
        <w:gridCol w:w="577"/>
        <w:gridCol w:w="1984"/>
        <w:gridCol w:w="866"/>
        <w:gridCol w:w="3629"/>
        <w:gridCol w:w="1417"/>
        <w:gridCol w:w="1097"/>
      </w:tblGrid>
      <w:tr>
        <w:tblPrEx>
          <w:tblLayout w:type="fixed"/>
          <w:tblCellMar>
            <w:top w:w="0" w:type="dxa"/>
            <w:left w:w="108" w:type="dxa"/>
            <w:bottom w:w="0" w:type="dxa"/>
            <w:right w:w="108" w:type="dxa"/>
          </w:tblCellMar>
        </w:tblPrEx>
        <w:trPr>
          <w:trHeight w:val="699" w:hRule="atLeast"/>
          <w:jc w:val="center"/>
        </w:trPr>
        <w:tc>
          <w:tcPr>
            <w:tcW w:w="577"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序号</w:t>
            </w:r>
          </w:p>
        </w:tc>
        <w:tc>
          <w:tcPr>
            <w:tcW w:w="1984"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项目名称</w:t>
            </w:r>
          </w:p>
        </w:tc>
        <w:tc>
          <w:tcPr>
            <w:tcW w:w="866"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w:t>
            </w:r>
          </w:p>
          <w:p>
            <w:pPr>
              <w:pStyle w:val="35"/>
              <w:rPr>
                <w:color w:val="auto"/>
              </w:rPr>
            </w:pPr>
            <w:r>
              <w:rPr>
                <w:rFonts w:hint="eastAsia"/>
                <w:color w:val="auto"/>
              </w:rPr>
              <w:t>阶段</w:t>
            </w:r>
          </w:p>
        </w:tc>
        <w:tc>
          <w:tcPr>
            <w:tcW w:w="3629"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建设内容及规模</w:t>
            </w:r>
          </w:p>
        </w:tc>
        <w:tc>
          <w:tcPr>
            <w:tcW w:w="1417"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起止年限</w:t>
            </w:r>
          </w:p>
        </w:tc>
        <w:tc>
          <w:tcPr>
            <w:tcW w:w="1097"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总投资（万元）</w:t>
            </w:r>
          </w:p>
        </w:tc>
      </w:tr>
      <w:tr>
        <w:tblPrEx>
          <w:tblLayout w:type="fixed"/>
          <w:tblCellMar>
            <w:top w:w="0" w:type="dxa"/>
            <w:left w:w="108" w:type="dxa"/>
            <w:bottom w:w="0" w:type="dxa"/>
            <w:right w:w="108" w:type="dxa"/>
          </w:tblCellMar>
        </w:tblPrEx>
        <w:trPr>
          <w:trHeight w:val="780" w:hRule="atLeast"/>
          <w:jc w:val="center"/>
        </w:trPr>
        <w:tc>
          <w:tcPr>
            <w:tcW w:w="57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1984"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济南至广州高速公路（平远段）</w:t>
            </w:r>
          </w:p>
        </w:tc>
        <w:tc>
          <w:tcPr>
            <w:tcW w:w="866"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已通车</w:t>
            </w:r>
          </w:p>
        </w:tc>
        <w:tc>
          <w:tcPr>
            <w:tcW w:w="3629"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平远段全长39.6公里，采用双向四车道高速公路标准，设计速度100公里/小时。</w:t>
            </w:r>
          </w:p>
        </w:tc>
        <w:tc>
          <w:tcPr>
            <w:tcW w:w="141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2015年12月建成通车</w:t>
            </w:r>
          </w:p>
        </w:tc>
        <w:tc>
          <w:tcPr>
            <w:tcW w:w="109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Layout w:type="fixed"/>
          <w:tblCellMar>
            <w:top w:w="0" w:type="dxa"/>
            <w:left w:w="108" w:type="dxa"/>
            <w:bottom w:w="0" w:type="dxa"/>
            <w:right w:w="108" w:type="dxa"/>
          </w:tblCellMar>
        </w:tblPrEx>
        <w:trPr>
          <w:trHeight w:val="780" w:hRule="atLeast"/>
          <w:jc w:val="center"/>
        </w:trPr>
        <w:tc>
          <w:tcPr>
            <w:tcW w:w="57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w:t>
            </w:r>
          </w:p>
        </w:tc>
        <w:tc>
          <w:tcPr>
            <w:tcW w:w="1984"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G358（湍溪至八尺段改线工程）</w:t>
            </w:r>
          </w:p>
        </w:tc>
        <w:tc>
          <w:tcPr>
            <w:tcW w:w="866"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改造</w:t>
            </w:r>
          </w:p>
        </w:tc>
        <w:tc>
          <w:tcPr>
            <w:tcW w:w="3629"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rPr>
              <w:t>35.98公里，采用二级公路技术标准，路基宽度12米，设计速度60公里/小时，沥青混凝土路面</w:t>
            </w:r>
            <w:r>
              <w:rPr>
                <w:rFonts w:hint="eastAsia" w:ascii="Nimbus Roman No9 L" w:hAnsi="Nimbus Roman No9 L" w:eastAsia="方正仿宋_GBK" w:cs="Nimbus Roman No9 L"/>
                <w:color w:val="auto"/>
                <w:lang w:eastAsia="zh-CN"/>
              </w:rPr>
              <w:t>。</w:t>
            </w:r>
          </w:p>
        </w:tc>
        <w:tc>
          <w:tcPr>
            <w:tcW w:w="141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2019</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2021</w:t>
            </w:r>
          </w:p>
        </w:tc>
        <w:tc>
          <w:tcPr>
            <w:tcW w:w="109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46000</w:t>
            </w:r>
          </w:p>
        </w:tc>
      </w:tr>
      <w:tr>
        <w:tblPrEx>
          <w:tblLayout w:type="fixed"/>
          <w:tblCellMar>
            <w:top w:w="0" w:type="dxa"/>
            <w:left w:w="108" w:type="dxa"/>
            <w:bottom w:w="0" w:type="dxa"/>
            <w:right w:w="108" w:type="dxa"/>
          </w:tblCellMar>
        </w:tblPrEx>
        <w:trPr>
          <w:trHeight w:val="721" w:hRule="atLeast"/>
          <w:jc w:val="center"/>
        </w:trPr>
        <w:tc>
          <w:tcPr>
            <w:tcW w:w="57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w:t>
            </w:r>
          </w:p>
        </w:tc>
        <w:tc>
          <w:tcPr>
            <w:tcW w:w="1984"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平远至武平</w:t>
            </w:r>
          </w:p>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高速公路</w:t>
            </w:r>
          </w:p>
        </w:tc>
        <w:tc>
          <w:tcPr>
            <w:tcW w:w="866"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新开工</w:t>
            </w:r>
          </w:p>
        </w:tc>
        <w:tc>
          <w:tcPr>
            <w:tcW w:w="3629"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全长42.2公里，拟采用双向四车道高速公路标准，设计速度100公里/小时。</w:t>
            </w:r>
          </w:p>
        </w:tc>
        <w:tc>
          <w:tcPr>
            <w:tcW w:w="141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2023</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2026</w:t>
            </w:r>
          </w:p>
        </w:tc>
        <w:tc>
          <w:tcPr>
            <w:tcW w:w="109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632500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纵向通道二：梅平高速+G206</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梅平高速是连接梅州城区和平远之间的快速交通运输通道，结合县内国道G206，将梅平高速和G206归类为纵向通道二，该通道与纵向通道一相互搭接，使平远县公路网更加“四通八达”。并根据县城布局，进一步优化梅平高速出入口，规划建设</w:t>
      </w:r>
      <w:r>
        <w:rPr>
          <w:rFonts w:hint="eastAsia" w:ascii="Nimbus Roman No9 L" w:hAnsi="Nimbus Roman No9 L" w:eastAsia="方正仿宋简体" w:cs="Nimbus Roman No9 L"/>
          <w:b w:val="0"/>
          <w:bCs w:val="0"/>
          <w:color w:val="000000" w:themeColor="text1"/>
          <w:spacing w:val="-11"/>
          <w:kern w:val="2"/>
          <w:sz w:val="32"/>
          <w:szCs w:val="32"/>
          <w:lang w:val="en-US" w:eastAsia="zh-CN" w:bidi="ar-SA"/>
          <w14:textFill>
            <w14:solidFill>
              <w14:schemeClr w14:val="tx1"/>
            </w14:solidFill>
          </w14:textFill>
        </w:rPr>
        <w:t>梅平高速超南出口。“纵向二”通道的重点建设项目如表6-2所示：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表6-2  “纵向二”重点建设项目表</w:t>
      </w:r>
    </w:p>
    <w:tbl>
      <w:tblPr>
        <w:tblStyle w:val="22"/>
        <w:tblW w:w="9570" w:type="dxa"/>
        <w:jc w:val="center"/>
        <w:tblInd w:w="0" w:type="dxa"/>
        <w:tblLayout w:type="fixed"/>
        <w:tblCellMar>
          <w:top w:w="0" w:type="dxa"/>
          <w:left w:w="108" w:type="dxa"/>
          <w:bottom w:w="0" w:type="dxa"/>
          <w:right w:w="108" w:type="dxa"/>
        </w:tblCellMar>
      </w:tblPr>
      <w:tblGrid>
        <w:gridCol w:w="578"/>
        <w:gridCol w:w="2359"/>
        <w:gridCol w:w="868"/>
        <w:gridCol w:w="3148"/>
        <w:gridCol w:w="1469"/>
        <w:gridCol w:w="1148"/>
      </w:tblGrid>
      <w:tr>
        <w:tblPrEx>
          <w:tblLayout w:type="fixed"/>
          <w:tblCellMar>
            <w:top w:w="0" w:type="dxa"/>
            <w:left w:w="108" w:type="dxa"/>
            <w:bottom w:w="0" w:type="dxa"/>
            <w:right w:w="108" w:type="dxa"/>
          </w:tblCellMar>
        </w:tblPrEx>
        <w:trPr>
          <w:trHeight w:val="735" w:hRule="atLeast"/>
          <w:jc w:val="center"/>
        </w:trPr>
        <w:tc>
          <w:tcPr>
            <w:tcW w:w="578"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序号</w:t>
            </w:r>
          </w:p>
        </w:tc>
        <w:tc>
          <w:tcPr>
            <w:tcW w:w="2359"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项目名称</w:t>
            </w:r>
          </w:p>
        </w:tc>
        <w:tc>
          <w:tcPr>
            <w:tcW w:w="868"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建设阶段</w:t>
            </w:r>
          </w:p>
        </w:tc>
        <w:tc>
          <w:tcPr>
            <w:tcW w:w="3148"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建设内容及规模</w:t>
            </w:r>
          </w:p>
        </w:tc>
        <w:tc>
          <w:tcPr>
            <w:tcW w:w="1469"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起止年限</w:t>
            </w:r>
          </w:p>
        </w:tc>
        <w:tc>
          <w:tcPr>
            <w:tcW w:w="1148"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总投资（万元）</w:t>
            </w:r>
          </w:p>
        </w:tc>
      </w:tr>
      <w:tr>
        <w:tblPrEx>
          <w:tblLayout w:type="fixed"/>
          <w:tblCellMar>
            <w:top w:w="0" w:type="dxa"/>
            <w:left w:w="108" w:type="dxa"/>
            <w:bottom w:w="0" w:type="dxa"/>
            <w:right w:w="108" w:type="dxa"/>
          </w:tblCellMar>
        </w:tblPrEx>
        <w:trPr>
          <w:trHeight w:val="619" w:hRule="atLeast"/>
          <w:jc w:val="center"/>
        </w:trPr>
        <w:tc>
          <w:tcPr>
            <w:tcW w:w="578" w:type="dxa"/>
            <w:tcBorders>
              <w:top w:val="nil"/>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2359"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梅（州）平（远）</w:t>
            </w:r>
          </w:p>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高速超南出口</w:t>
            </w:r>
          </w:p>
        </w:tc>
        <w:tc>
          <w:tcPr>
            <w:tcW w:w="86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新开工</w:t>
            </w:r>
          </w:p>
        </w:tc>
        <w:tc>
          <w:tcPr>
            <w:tcW w:w="314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rPr>
              <w:t>新建互通出口</w:t>
            </w:r>
            <w:r>
              <w:rPr>
                <w:rFonts w:hint="eastAsia" w:ascii="Nimbus Roman No9 L" w:hAnsi="Nimbus Roman No9 L" w:eastAsia="方正仿宋_GBK" w:cs="Nimbus Roman No9 L"/>
                <w:color w:val="auto"/>
                <w:lang w:eastAsia="zh-CN"/>
              </w:rPr>
              <w:t>。</w:t>
            </w:r>
          </w:p>
        </w:tc>
        <w:tc>
          <w:tcPr>
            <w:tcW w:w="1469"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2024</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2027</w:t>
            </w:r>
          </w:p>
        </w:tc>
        <w:tc>
          <w:tcPr>
            <w:tcW w:w="114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28000</w:t>
            </w:r>
          </w:p>
        </w:tc>
      </w:tr>
      <w:tr>
        <w:tblPrEx>
          <w:tblLayout w:type="fixed"/>
          <w:tblCellMar>
            <w:top w:w="0" w:type="dxa"/>
            <w:left w:w="108" w:type="dxa"/>
            <w:bottom w:w="0" w:type="dxa"/>
            <w:right w:w="108" w:type="dxa"/>
          </w:tblCellMar>
        </w:tblPrEx>
        <w:trPr>
          <w:trHeight w:val="619" w:hRule="atLeast"/>
          <w:jc w:val="center"/>
        </w:trPr>
        <w:tc>
          <w:tcPr>
            <w:tcW w:w="578" w:type="dxa"/>
            <w:tcBorders>
              <w:top w:val="nil"/>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w:t>
            </w:r>
          </w:p>
        </w:tc>
        <w:tc>
          <w:tcPr>
            <w:tcW w:w="2359"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国道G206线平远县田螺纽至超竹段</w:t>
            </w:r>
          </w:p>
        </w:tc>
        <w:tc>
          <w:tcPr>
            <w:tcW w:w="86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续建</w:t>
            </w:r>
          </w:p>
        </w:tc>
        <w:tc>
          <w:tcPr>
            <w:tcW w:w="314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一级公路新建，全长13.77公里，路基宽25.5米，沥青砼路面。</w:t>
            </w:r>
          </w:p>
        </w:tc>
        <w:tc>
          <w:tcPr>
            <w:tcW w:w="1469"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2019</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2021</w:t>
            </w:r>
          </w:p>
        </w:tc>
        <w:tc>
          <w:tcPr>
            <w:tcW w:w="114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60224</w:t>
            </w:r>
          </w:p>
        </w:tc>
      </w:tr>
      <w:tr>
        <w:tblPrEx>
          <w:tblLayout w:type="fixed"/>
          <w:tblCellMar>
            <w:top w:w="0" w:type="dxa"/>
            <w:left w:w="108" w:type="dxa"/>
            <w:bottom w:w="0" w:type="dxa"/>
            <w:right w:w="108" w:type="dxa"/>
          </w:tblCellMar>
        </w:tblPrEx>
        <w:trPr>
          <w:trHeight w:val="900" w:hRule="atLeast"/>
          <w:jc w:val="center"/>
        </w:trPr>
        <w:tc>
          <w:tcPr>
            <w:tcW w:w="578" w:type="dxa"/>
            <w:tcBorders>
              <w:top w:val="nil"/>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lang w:val="en-US" w:eastAsia="zh-CN"/>
              </w:rPr>
              <w:t>3</w:t>
            </w:r>
          </w:p>
        </w:tc>
        <w:tc>
          <w:tcPr>
            <w:tcW w:w="2359"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国道G206线平远县牛埃石至大柘段</w:t>
            </w:r>
          </w:p>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改建工程</w:t>
            </w:r>
          </w:p>
        </w:tc>
        <w:tc>
          <w:tcPr>
            <w:tcW w:w="86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立项</w:t>
            </w:r>
          </w:p>
        </w:tc>
        <w:tc>
          <w:tcPr>
            <w:tcW w:w="314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一级公路新改建，全长24.7公里，路基宽25.5米，沥青砼路面。</w:t>
            </w:r>
          </w:p>
        </w:tc>
        <w:tc>
          <w:tcPr>
            <w:tcW w:w="1469"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2026</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2029</w:t>
            </w:r>
          </w:p>
        </w:tc>
        <w:tc>
          <w:tcPr>
            <w:tcW w:w="114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85863</w:t>
            </w:r>
          </w:p>
        </w:tc>
      </w:tr>
      <w:tr>
        <w:tblPrEx>
          <w:tblLayout w:type="fixed"/>
          <w:tblCellMar>
            <w:top w:w="0" w:type="dxa"/>
            <w:left w:w="108" w:type="dxa"/>
            <w:bottom w:w="0" w:type="dxa"/>
            <w:right w:w="108" w:type="dxa"/>
          </w:tblCellMar>
        </w:tblPrEx>
        <w:trPr>
          <w:trHeight w:val="762" w:hRule="atLeast"/>
          <w:jc w:val="center"/>
        </w:trPr>
        <w:tc>
          <w:tcPr>
            <w:tcW w:w="578" w:type="dxa"/>
            <w:tcBorders>
              <w:top w:val="nil"/>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lang w:val="en-US" w:eastAsia="zh-CN"/>
              </w:rPr>
              <w:t>4</w:t>
            </w:r>
          </w:p>
        </w:tc>
        <w:tc>
          <w:tcPr>
            <w:tcW w:w="2359"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国道G206线平远县超竹至梅平径段</w:t>
            </w:r>
          </w:p>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改建工程</w:t>
            </w:r>
          </w:p>
        </w:tc>
        <w:tc>
          <w:tcPr>
            <w:tcW w:w="86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新开工</w:t>
            </w:r>
          </w:p>
        </w:tc>
        <w:tc>
          <w:tcPr>
            <w:tcW w:w="314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一级公路新改建，全长14.6公里，路基宽25.5米，沥青砼路面。</w:t>
            </w:r>
          </w:p>
        </w:tc>
        <w:tc>
          <w:tcPr>
            <w:tcW w:w="1469"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2025</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2027</w:t>
            </w:r>
          </w:p>
        </w:tc>
        <w:tc>
          <w:tcPr>
            <w:tcW w:w="114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50753</w:t>
            </w:r>
          </w:p>
        </w:tc>
      </w:tr>
    </w:tbl>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纵向通道三：瑞梅铁路</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全力推进瑞（金）梅（州）铁路建设。该铁路将成为平远县内的第一条铁路线，在平远县未来的经济发展中添上浓墨重彩的一笔，故在“十四五”规划中，平远县应将瑞梅铁路的建设作为最重要的建设任务，把其划分为平远县内第三条纵向运输通道，与纵一纵二以及横向通道相互联系、相互依存，构成平远县内的交通运输圈以及与县外互通的交通运输通道网络，为平远县的经济发展带来更多的投资与动力。“纵向三”通道——瑞梅铁路的重点建设项目如表6-3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表6-3  “纵向三”重点建设项目表</w:t>
      </w:r>
    </w:p>
    <w:tbl>
      <w:tblPr>
        <w:tblStyle w:val="22"/>
        <w:tblW w:w="9510" w:type="dxa"/>
        <w:jc w:val="center"/>
        <w:tblInd w:w="0" w:type="dxa"/>
        <w:tblLayout w:type="fixed"/>
        <w:tblCellMar>
          <w:top w:w="0" w:type="dxa"/>
          <w:left w:w="108" w:type="dxa"/>
          <w:bottom w:w="0" w:type="dxa"/>
          <w:right w:w="108" w:type="dxa"/>
        </w:tblCellMar>
      </w:tblPr>
      <w:tblGrid>
        <w:gridCol w:w="586"/>
        <w:gridCol w:w="2228"/>
        <w:gridCol w:w="821"/>
        <w:gridCol w:w="3258"/>
        <w:gridCol w:w="1510"/>
        <w:gridCol w:w="1107"/>
      </w:tblGrid>
      <w:tr>
        <w:tblPrEx>
          <w:tblLayout w:type="fixed"/>
          <w:tblCellMar>
            <w:top w:w="0" w:type="dxa"/>
            <w:left w:w="108" w:type="dxa"/>
            <w:bottom w:w="0" w:type="dxa"/>
            <w:right w:w="108" w:type="dxa"/>
          </w:tblCellMar>
        </w:tblPrEx>
        <w:trPr>
          <w:trHeight w:val="743" w:hRule="atLeast"/>
          <w:jc w:val="center"/>
        </w:trPr>
        <w:tc>
          <w:tcPr>
            <w:tcW w:w="586"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序号</w:t>
            </w:r>
          </w:p>
        </w:tc>
        <w:tc>
          <w:tcPr>
            <w:tcW w:w="2228"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项目名称</w:t>
            </w:r>
          </w:p>
        </w:tc>
        <w:tc>
          <w:tcPr>
            <w:tcW w:w="821"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建设阶段</w:t>
            </w:r>
          </w:p>
        </w:tc>
        <w:tc>
          <w:tcPr>
            <w:tcW w:w="3258"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建设内容及规模</w:t>
            </w:r>
          </w:p>
        </w:tc>
        <w:tc>
          <w:tcPr>
            <w:tcW w:w="1510"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起止年限</w:t>
            </w:r>
          </w:p>
        </w:tc>
        <w:tc>
          <w:tcPr>
            <w:tcW w:w="1107"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总投资（万元）</w:t>
            </w:r>
          </w:p>
        </w:tc>
      </w:tr>
      <w:tr>
        <w:tblPrEx>
          <w:tblLayout w:type="fixed"/>
          <w:tblCellMar>
            <w:top w:w="0" w:type="dxa"/>
            <w:left w:w="108" w:type="dxa"/>
            <w:bottom w:w="0" w:type="dxa"/>
            <w:right w:w="108" w:type="dxa"/>
          </w:tblCellMar>
        </w:tblPrEx>
        <w:trPr>
          <w:trHeight w:val="805" w:hRule="atLeast"/>
          <w:jc w:val="center"/>
        </w:trPr>
        <w:tc>
          <w:tcPr>
            <w:tcW w:w="586" w:type="dxa"/>
            <w:tcBorders>
              <w:top w:val="nil"/>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222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瑞梅铁路（平远段）</w:t>
            </w:r>
          </w:p>
        </w:tc>
        <w:tc>
          <w:tcPr>
            <w:tcW w:w="821"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新开工</w:t>
            </w:r>
          </w:p>
        </w:tc>
        <w:tc>
          <w:tcPr>
            <w:tcW w:w="3258"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平远县段47.3公里，拟单线160公里客货共线。</w:t>
            </w:r>
          </w:p>
        </w:tc>
        <w:tc>
          <w:tcPr>
            <w:tcW w:w="1510"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2022</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c>
          <w:tcPr>
            <w:tcW w:w="1107"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330000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横向通道：平蕉大高速+S332</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47" w:name="_Toc1750"/>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全力推进平（远）蕉（岭）大（埔）高速开展前期工作。横向通道的重点建设目标如表6-4所示。</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表6-4  “横向一”重点建设项目表</w:t>
      </w:r>
    </w:p>
    <w:tbl>
      <w:tblPr>
        <w:tblStyle w:val="22"/>
        <w:tblW w:w="9570" w:type="dxa"/>
        <w:jc w:val="center"/>
        <w:tblInd w:w="0" w:type="dxa"/>
        <w:tblLayout w:type="fixed"/>
        <w:tblCellMar>
          <w:top w:w="0" w:type="dxa"/>
          <w:left w:w="108" w:type="dxa"/>
          <w:bottom w:w="0" w:type="dxa"/>
          <w:right w:w="108" w:type="dxa"/>
        </w:tblCellMar>
      </w:tblPr>
      <w:tblGrid>
        <w:gridCol w:w="572"/>
        <w:gridCol w:w="2003"/>
        <w:gridCol w:w="845"/>
        <w:gridCol w:w="3609"/>
        <w:gridCol w:w="1455"/>
        <w:gridCol w:w="1086"/>
      </w:tblGrid>
      <w:tr>
        <w:tblPrEx>
          <w:tblLayout w:type="fixed"/>
          <w:tblCellMar>
            <w:top w:w="0" w:type="dxa"/>
            <w:left w:w="108" w:type="dxa"/>
            <w:bottom w:w="0" w:type="dxa"/>
            <w:right w:w="108" w:type="dxa"/>
          </w:tblCellMar>
        </w:tblPrEx>
        <w:trPr>
          <w:trHeight w:val="750" w:hRule="atLeast"/>
          <w:jc w:val="center"/>
        </w:trPr>
        <w:tc>
          <w:tcPr>
            <w:tcW w:w="572"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序号</w:t>
            </w:r>
          </w:p>
        </w:tc>
        <w:tc>
          <w:tcPr>
            <w:tcW w:w="2003"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项目名称</w:t>
            </w:r>
          </w:p>
        </w:tc>
        <w:tc>
          <w:tcPr>
            <w:tcW w:w="845"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建设阶段</w:t>
            </w:r>
          </w:p>
        </w:tc>
        <w:tc>
          <w:tcPr>
            <w:tcW w:w="3609"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建设内容及规模</w:t>
            </w:r>
          </w:p>
        </w:tc>
        <w:tc>
          <w:tcPr>
            <w:tcW w:w="1455"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起止年限</w:t>
            </w:r>
          </w:p>
        </w:tc>
        <w:tc>
          <w:tcPr>
            <w:tcW w:w="1086"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总投资（万元）</w:t>
            </w:r>
          </w:p>
        </w:tc>
      </w:tr>
      <w:tr>
        <w:tblPrEx>
          <w:tblLayout w:type="fixed"/>
          <w:tblCellMar>
            <w:top w:w="0" w:type="dxa"/>
            <w:left w:w="108" w:type="dxa"/>
            <w:bottom w:w="0" w:type="dxa"/>
            <w:right w:w="108" w:type="dxa"/>
          </w:tblCellMar>
        </w:tblPrEx>
        <w:trPr>
          <w:trHeight w:val="1315" w:hRule="atLeast"/>
          <w:jc w:val="center"/>
        </w:trPr>
        <w:tc>
          <w:tcPr>
            <w:tcW w:w="572" w:type="dxa"/>
            <w:tcBorders>
              <w:top w:val="nil"/>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1</w:t>
            </w:r>
          </w:p>
        </w:tc>
        <w:tc>
          <w:tcPr>
            <w:tcW w:w="2003"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平蕉大高速公路（平远段）</w:t>
            </w:r>
          </w:p>
        </w:tc>
        <w:tc>
          <w:tcPr>
            <w:tcW w:w="845"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新开工</w:t>
            </w:r>
          </w:p>
        </w:tc>
        <w:tc>
          <w:tcPr>
            <w:tcW w:w="3609"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平远段全长约14公里，拟采用双向四车道高速公路标准，设计速度100公里/小时。</w:t>
            </w:r>
          </w:p>
        </w:tc>
        <w:tc>
          <w:tcPr>
            <w:tcW w:w="1455"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2025</w:t>
            </w:r>
            <w:r>
              <w:rPr>
                <w:rFonts w:hint="eastAsia" w:ascii="Nimbus Roman No9 L" w:hAnsi="Nimbus Roman No9 L" w:eastAsia="方正仿宋_GBK" w:cs="Nimbus Roman No9 L"/>
                <w:color w:val="auto"/>
                <w:lang w:eastAsia="zh-CN"/>
              </w:rPr>
              <w:t>—</w:t>
            </w:r>
            <w:r>
              <w:rPr>
                <w:rFonts w:hint="eastAsia" w:ascii="Nimbus Roman No9 L" w:hAnsi="Nimbus Roman No9 L" w:eastAsia="方正仿宋_GBK" w:cs="Nimbus Roman No9 L"/>
                <w:color w:val="auto"/>
              </w:rPr>
              <w:t>2029</w:t>
            </w:r>
          </w:p>
        </w:tc>
        <w:tc>
          <w:tcPr>
            <w:tcW w:w="1086"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eastAsia" w:ascii="Nimbus Roman No9 L" w:hAnsi="Nimbus Roman No9 L" w:eastAsia="方正仿宋_GBK" w:cs="Nimbus Roman No9 L"/>
                <w:color w:val="auto"/>
              </w:rPr>
              <w:t>238000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平（远）蕉（岭）大（埔）高速公路项目已列入《广东省高速公路网规划（2020—2035年）》远景规划建设项目，目前已完成线路初步方案。“十四五”时期，积极争取省、市相关部门支持，尽快开展项目前期工作，力争2025年之前动工建设。</w:t>
      </w:r>
      <w:bookmarkEnd w:id="47"/>
      <w:bookmarkStart w:id="48" w:name="_Toc29224"/>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49" w:name="_Toc3753"/>
      <w:r>
        <w:rPr>
          <w:rFonts w:hint="default" w:ascii="Nimbus Roman No9 L" w:hAnsi="Nimbus Roman No9 L" w:eastAsia="方正楷体_GBK" w:cs="Nimbus Roman No9 L"/>
          <w:b w:val="0"/>
          <w:bCs/>
          <w:color w:val="auto"/>
          <w:sz w:val="32"/>
          <w:szCs w:val="32"/>
        </w:rPr>
        <w:t>6.2高速公路建设与预期</w:t>
      </w:r>
      <w:bookmarkEnd w:id="49"/>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6.2.1高速公路规划</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表6-5  “十四五”时期平远县高速公路一览表</w:t>
      </w:r>
    </w:p>
    <w:tbl>
      <w:tblPr>
        <w:tblStyle w:val="22"/>
        <w:tblW w:w="9704"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09"/>
        <w:gridCol w:w="972"/>
        <w:gridCol w:w="2986"/>
        <w:gridCol w:w="1835"/>
        <w:gridCol w:w="723"/>
        <w:gridCol w:w="15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23" w:hRule="exact"/>
          <w:jc w:val="center"/>
        </w:trPr>
        <w:tc>
          <w:tcPr>
            <w:tcW w:w="1609" w:type="dxa"/>
            <w:shd w:val="clear" w:color="auto" w:fill="DEEBF6" w:themeFill="accent1" w:themeFillTint="32"/>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高速名称</w:t>
            </w:r>
          </w:p>
        </w:tc>
        <w:tc>
          <w:tcPr>
            <w:tcW w:w="972" w:type="dxa"/>
            <w:shd w:val="clear" w:color="auto" w:fill="DEEBF6" w:themeFill="accent1" w:themeFillTint="32"/>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里程</w:t>
            </w:r>
            <w:r>
              <w:rPr>
                <w:rFonts w:hint="default" w:ascii="Nimbus Roman No9 L" w:hAnsi="Nimbus Roman No9 L" w:cs="Nimbus Roman No9 L"/>
                <w:color w:val="auto"/>
                <w:lang w:eastAsia="zh-CN"/>
              </w:rPr>
              <w:t>（km）</w:t>
            </w:r>
          </w:p>
        </w:tc>
        <w:tc>
          <w:tcPr>
            <w:tcW w:w="2986" w:type="dxa"/>
            <w:shd w:val="clear" w:color="auto" w:fill="DEEBF6" w:themeFill="accent1" w:themeFillTint="32"/>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沿线互通</w:t>
            </w:r>
          </w:p>
        </w:tc>
        <w:tc>
          <w:tcPr>
            <w:tcW w:w="1835" w:type="dxa"/>
            <w:shd w:val="clear" w:color="auto" w:fill="DEEBF6" w:themeFill="accent1" w:themeFillTint="32"/>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通车时间</w:t>
            </w:r>
          </w:p>
        </w:tc>
        <w:tc>
          <w:tcPr>
            <w:tcW w:w="723" w:type="dxa"/>
            <w:shd w:val="clear" w:color="auto" w:fill="DEEBF6" w:themeFill="accent1" w:themeFillTint="32"/>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备注</w:t>
            </w:r>
          </w:p>
        </w:tc>
        <w:tc>
          <w:tcPr>
            <w:tcW w:w="1579" w:type="dxa"/>
            <w:shd w:val="clear" w:color="auto" w:fill="DEEBF6" w:themeFill="accent1" w:themeFillTint="32"/>
            <w:vAlign w:val="center"/>
          </w:tcPr>
          <w:p>
            <w:pPr>
              <w:pStyle w:val="35"/>
              <w:rPr>
                <w:rFonts w:hint="default" w:ascii="Nimbus Roman No9 L" w:hAnsi="Nimbus Roman No9 L" w:cs="Nimbus Roman No9 L"/>
                <w:color w:val="auto"/>
              </w:rPr>
            </w:pPr>
            <w:r>
              <w:rPr>
                <w:rFonts w:hint="default" w:ascii="Nimbus Roman No9 L" w:hAnsi="Nimbus Roman No9 L" w:cs="Nimbus Roman No9 L"/>
                <w:color w:val="auto"/>
              </w:rPr>
              <w:t>“十四五”投资额（万元）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60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平武高速</w:t>
            </w:r>
          </w:p>
        </w:tc>
        <w:tc>
          <w:tcPr>
            <w:tcW w:w="972"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45.63</w:t>
            </w:r>
          </w:p>
        </w:tc>
        <w:tc>
          <w:tcPr>
            <w:tcW w:w="2986"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差干、上举、东石、大柘</w:t>
            </w:r>
          </w:p>
        </w:tc>
        <w:tc>
          <w:tcPr>
            <w:tcW w:w="1835"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lang w:eastAsia="zh-CN"/>
              </w:rPr>
            </w:pPr>
            <w:r>
              <w:rPr>
                <w:rFonts w:hint="eastAsia" w:ascii="Nimbus Roman No9 L" w:hAnsi="Nimbus Roman No9 L" w:eastAsia="方正仿宋_GBK" w:cs="Nimbus Roman No9 L"/>
                <w:color w:val="auto"/>
              </w:rPr>
              <w:t>2026</w:t>
            </w:r>
            <w:r>
              <w:rPr>
                <w:rFonts w:hint="eastAsia" w:ascii="Nimbus Roman No9 L" w:hAnsi="Nimbus Roman No9 L" w:eastAsia="方正仿宋_GBK" w:cs="Nimbus Roman No9 L"/>
                <w:color w:val="auto"/>
                <w:lang w:eastAsia="zh-CN"/>
              </w:rPr>
              <w:t>年</w:t>
            </w:r>
          </w:p>
        </w:tc>
        <w:tc>
          <w:tcPr>
            <w:tcW w:w="723"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规划</w:t>
            </w:r>
          </w:p>
        </w:tc>
        <w:tc>
          <w:tcPr>
            <w:tcW w:w="157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632500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25" w:hRule="exact"/>
          <w:jc w:val="center"/>
        </w:trPr>
        <w:tc>
          <w:tcPr>
            <w:tcW w:w="160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梅平高速</w:t>
            </w:r>
          </w:p>
        </w:tc>
        <w:tc>
          <w:tcPr>
            <w:tcW w:w="972"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17.5</w:t>
            </w:r>
          </w:p>
        </w:tc>
        <w:tc>
          <w:tcPr>
            <w:tcW w:w="2986"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长田</w:t>
            </w:r>
          </w:p>
        </w:tc>
        <w:tc>
          <w:tcPr>
            <w:tcW w:w="1835"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lang w:eastAsia="zh-CN"/>
              </w:rPr>
            </w:pPr>
            <w:r>
              <w:rPr>
                <w:rFonts w:hint="eastAsia" w:ascii="Nimbus Roman No9 L" w:hAnsi="Nimbus Roman No9 L" w:eastAsia="方正仿宋_GBK" w:cs="Nimbus Roman No9 L"/>
                <w:color w:val="auto"/>
              </w:rPr>
              <w:t>2019</w:t>
            </w:r>
            <w:r>
              <w:rPr>
                <w:rFonts w:hint="eastAsia" w:ascii="Nimbus Roman No9 L" w:hAnsi="Nimbus Roman No9 L" w:eastAsia="方正仿宋_GBK" w:cs="Nimbus Roman No9 L"/>
                <w:color w:val="auto"/>
                <w:lang w:eastAsia="zh-CN"/>
              </w:rPr>
              <w:t>年</w:t>
            </w:r>
            <w:r>
              <w:rPr>
                <w:rFonts w:hint="eastAsia" w:ascii="Nimbus Roman No9 L" w:hAnsi="Nimbus Roman No9 L" w:eastAsia="方正仿宋_GBK" w:cs="Nimbus Roman No9 L"/>
                <w:color w:val="auto"/>
              </w:rPr>
              <w:t>8</w:t>
            </w:r>
            <w:r>
              <w:rPr>
                <w:rFonts w:hint="eastAsia" w:ascii="Nimbus Roman No9 L" w:hAnsi="Nimbus Roman No9 L" w:eastAsia="方正仿宋_GBK" w:cs="Nimbus Roman No9 L"/>
                <w:color w:val="auto"/>
                <w:lang w:eastAsia="zh-CN"/>
              </w:rPr>
              <w:t>月</w:t>
            </w:r>
          </w:p>
        </w:tc>
        <w:tc>
          <w:tcPr>
            <w:tcW w:w="723"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现有</w:t>
            </w:r>
          </w:p>
        </w:tc>
        <w:tc>
          <w:tcPr>
            <w:tcW w:w="157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05" w:hRule="exact"/>
          <w:jc w:val="center"/>
        </w:trPr>
        <w:tc>
          <w:tcPr>
            <w:tcW w:w="160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济广高速</w:t>
            </w:r>
          </w:p>
        </w:tc>
        <w:tc>
          <w:tcPr>
            <w:tcW w:w="972"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40.22</w:t>
            </w:r>
          </w:p>
        </w:tc>
        <w:tc>
          <w:tcPr>
            <w:tcW w:w="2986"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五指石、河头、平远、石正</w:t>
            </w:r>
          </w:p>
        </w:tc>
        <w:tc>
          <w:tcPr>
            <w:tcW w:w="1835"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lang w:eastAsia="zh-CN"/>
              </w:rPr>
            </w:pPr>
            <w:r>
              <w:rPr>
                <w:rFonts w:hint="eastAsia" w:ascii="Nimbus Roman No9 L" w:hAnsi="Nimbus Roman No9 L" w:eastAsia="方正仿宋_GBK" w:cs="Nimbus Roman No9 L"/>
                <w:color w:val="auto"/>
              </w:rPr>
              <w:t>2015</w:t>
            </w:r>
            <w:r>
              <w:rPr>
                <w:rFonts w:hint="eastAsia" w:ascii="Nimbus Roman No9 L" w:hAnsi="Nimbus Roman No9 L" w:eastAsia="方正仿宋_GBK" w:cs="Nimbus Roman No9 L"/>
                <w:color w:val="auto"/>
                <w:lang w:eastAsia="zh-CN"/>
              </w:rPr>
              <w:t>年</w:t>
            </w:r>
            <w:r>
              <w:rPr>
                <w:rFonts w:hint="eastAsia" w:ascii="Nimbus Roman No9 L" w:hAnsi="Nimbus Roman No9 L" w:eastAsia="方正仿宋_GBK" w:cs="Nimbus Roman No9 L"/>
                <w:color w:val="auto"/>
              </w:rPr>
              <w:t>12</w:t>
            </w:r>
            <w:r>
              <w:rPr>
                <w:rFonts w:hint="eastAsia" w:ascii="Nimbus Roman No9 L" w:hAnsi="Nimbus Roman No9 L" w:eastAsia="方正仿宋_GBK" w:cs="Nimbus Roman No9 L"/>
                <w:color w:val="auto"/>
                <w:lang w:eastAsia="zh-CN"/>
              </w:rPr>
              <w:t>月</w:t>
            </w:r>
          </w:p>
        </w:tc>
        <w:tc>
          <w:tcPr>
            <w:tcW w:w="723"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现有</w:t>
            </w:r>
          </w:p>
        </w:tc>
        <w:tc>
          <w:tcPr>
            <w:tcW w:w="157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60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平蕉大高速</w:t>
            </w:r>
          </w:p>
        </w:tc>
        <w:tc>
          <w:tcPr>
            <w:tcW w:w="972"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12.67</w:t>
            </w:r>
          </w:p>
        </w:tc>
        <w:tc>
          <w:tcPr>
            <w:tcW w:w="2986"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东石</w:t>
            </w:r>
          </w:p>
        </w:tc>
        <w:tc>
          <w:tcPr>
            <w:tcW w:w="1835"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lang w:eastAsia="zh-CN"/>
              </w:rPr>
            </w:pPr>
            <w:r>
              <w:rPr>
                <w:rFonts w:hint="eastAsia" w:ascii="Nimbus Roman No9 L" w:hAnsi="Nimbus Roman No9 L" w:eastAsia="方正仿宋_GBK" w:cs="Nimbus Roman No9 L"/>
                <w:color w:val="auto"/>
              </w:rPr>
              <w:t>2029</w:t>
            </w:r>
            <w:r>
              <w:rPr>
                <w:rFonts w:hint="eastAsia" w:ascii="Nimbus Roman No9 L" w:hAnsi="Nimbus Roman No9 L" w:eastAsia="方正仿宋_GBK" w:cs="Nimbus Roman No9 L"/>
                <w:color w:val="auto"/>
                <w:lang w:eastAsia="zh-CN"/>
              </w:rPr>
              <w:t>年</w:t>
            </w:r>
          </w:p>
        </w:tc>
        <w:tc>
          <w:tcPr>
            <w:tcW w:w="723"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规划</w:t>
            </w:r>
          </w:p>
        </w:tc>
        <w:tc>
          <w:tcPr>
            <w:tcW w:w="157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r>
              <w:rPr>
                <w:rFonts w:hint="eastAsia" w:ascii="Nimbus Roman No9 L" w:hAnsi="Nimbus Roman No9 L" w:eastAsia="方正仿宋_GBK" w:cs="Nimbus Roman No9 L"/>
                <w:color w:val="auto"/>
              </w:rPr>
              <w:t>238000</w:t>
            </w:r>
          </w:p>
        </w:tc>
      </w:tr>
    </w:tbl>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Nimbus Roman No9 L" w:hAnsi="Nimbus Roman No9 L" w:eastAsia="方正仿宋_GBK" w:cs="Nimbus Roman No9 L"/>
          <w:color w:val="auto"/>
        </w:rPr>
      </w:pPr>
    </w:p>
    <w:p>
      <w:pPr>
        <w:ind w:firstLine="0" w:firstLineChars="0"/>
        <w:jc w:val="center"/>
        <w:rPr>
          <w:color w:val="auto"/>
        </w:rPr>
      </w:pPr>
      <w:r>
        <w:rPr>
          <w:rFonts w:hint="eastAsia"/>
          <w:color w:val="auto"/>
        </w:rPr>
        <w:drawing>
          <wp:inline distT="0" distB="0" distL="114300" distR="114300">
            <wp:extent cx="3567430" cy="5044440"/>
            <wp:effectExtent l="0" t="0" r="1397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67430" cy="5044440"/>
                    </a:xfrm>
                    <a:prstGeom prst="rect">
                      <a:avLst/>
                    </a:prstGeom>
                  </pic:spPr>
                </pic:pic>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图6-1  平远县“十四五”高速公路互通布局图</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6.2.2规划预期效果</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“十四五”期末，平远县将形成“四条高速、三纵一横、十字互通”的高速路网格局，在各镇之间设立多个互通出口，可实现县内各镇10分钟内便捷上下高速公路，加强各镇区域间的联</w:t>
      </w:r>
      <w:r>
        <w:rPr>
          <w:rFonts w:hint="eastAsia" w:ascii="Nimbus Roman No9 L" w:hAnsi="Nimbus Roman No9 L" w:eastAsia="方正仿宋简体" w:cs="Nimbus Roman No9 L"/>
          <w:b w:val="0"/>
          <w:bCs w:val="0"/>
          <w:color w:val="000000" w:themeColor="text1"/>
          <w:spacing w:val="-6"/>
          <w:kern w:val="2"/>
          <w:sz w:val="32"/>
          <w:szCs w:val="32"/>
          <w:lang w:val="en-US" w:eastAsia="zh-CN" w:bidi="ar-SA"/>
          <w14:textFill>
            <w14:solidFill>
              <w14:schemeClr w14:val="tx1"/>
            </w14:solidFill>
          </w14:textFill>
        </w:rPr>
        <w:t>系，加强区域沟通、资源调配、促进县域经济发展、实现共同富裕。</w:t>
      </w:r>
    </w:p>
    <w:p>
      <w:pPr>
        <w:pStyle w:val="27"/>
        <w:keepNext w:val="0"/>
        <w:keepLines w:val="0"/>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表6-6  “十四五”平远县各镇高速公路互通设施一览表</w:t>
      </w:r>
    </w:p>
    <w:tbl>
      <w:tblPr>
        <w:tblStyle w:val="22"/>
        <w:tblW w:w="9098"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31"/>
        <w:gridCol w:w="2729"/>
        <w:gridCol w:w="2269"/>
        <w:gridCol w:w="22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27" w:hRule="exact"/>
          <w:jc w:val="center"/>
        </w:trPr>
        <w:tc>
          <w:tcPr>
            <w:tcW w:w="1831" w:type="dxa"/>
            <w:shd w:val="clear" w:color="auto" w:fill="DEEBF6" w:themeFill="accent1" w:themeFillTint="32"/>
            <w:vAlign w:val="center"/>
          </w:tcPr>
          <w:p>
            <w:pPr>
              <w:pStyle w:val="35"/>
              <w:spacing w:line="240" w:lineRule="auto"/>
              <w:jc w:val="center"/>
              <w:rPr>
                <w:color w:val="auto"/>
              </w:rPr>
            </w:pPr>
            <w:r>
              <w:rPr>
                <w:rFonts w:hint="eastAsia"/>
                <w:color w:val="auto"/>
              </w:rPr>
              <w:t>镇名</w:t>
            </w:r>
          </w:p>
        </w:tc>
        <w:tc>
          <w:tcPr>
            <w:tcW w:w="2729" w:type="dxa"/>
            <w:shd w:val="clear" w:color="auto" w:fill="DEEBF6" w:themeFill="accent1" w:themeFillTint="32"/>
            <w:vAlign w:val="center"/>
          </w:tcPr>
          <w:p>
            <w:pPr>
              <w:pStyle w:val="35"/>
              <w:spacing w:line="240" w:lineRule="auto"/>
              <w:jc w:val="center"/>
              <w:rPr>
                <w:color w:val="auto"/>
              </w:rPr>
            </w:pPr>
            <w:r>
              <w:rPr>
                <w:rFonts w:hint="eastAsia"/>
                <w:color w:val="auto"/>
              </w:rPr>
              <w:t>互通名称</w:t>
            </w:r>
          </w:p>
        </w:tc>
        <w:tc>
          <w:tcPr>
            <w:tcW w:w="2269" w:type="dxa"/>
            <w:shd w:val="clear" w:color="auto" w:fill="DEEBF6" w:themeFill="accent1" w:themeFillTint="32"/>
            <w:vAlign w:val="center"/>
          </w:tcPr>
          <w:p>
            <w:pPr>
              <w:pStyle w:val="35"/>
              <w:spacing w:line="240" w:lineRule="auto"/>
              <w:jc w:val="center"/>
              <w:rPr>
                <w:rFonts w:hint="eastAsia" w:eastAsia="楷体"/>
                <w:color w:val="auto"/>
                <w:lang w:eastAsia="zh-CN"/>
              </w:rPr>
            </w:pPr>
            <w:r>
              <w:rPr>
                <w:rFonts w:hint="eastAsia"/>
                <w:color w:val="auto"/>
                <w:lang w:val="en-US" w:eastAsia="zh-CN"/>
              </w:rPr>
              <w:t>性质</w:t>
            </w:r>
          </w:p>
        </w:tc>
        <w:tc>
          <w:tcPr>
            <w:tcW w:w="2269" w:type="dxa"/>
            <w:shd w:val="clear" w:color="auto" w:fill="DEEBF6" w:themeFill="accent1" w:themeFillTint="32"/>
            <w:vAlign w:val="center"/>
          </w:tcPr>
          <w:p>
            <w:pPr>
              <w:pStyle w:val="35"/>
              <w:spacing w:line="240" w:lineRule="auto"/>
              <w:jc w:val="center"/>
              <w:rPr>
                <w:color w:val="auto"/>
              </w:rPr>
            </w:pPr>
            <w:r>
              <w:rPr>
                <w:rFonts w:hint="eastAsia"/>
                <w:color w:val="auto"/>
              </w:rPr>
              <w:t>投资额（万元）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长田镇</w:t>
            </w:r>
          </w:p>
        </w:tc>
        <w:tc>
          <w:tcPr>
            <w:tcW w:w="2729" w:type="dxa"/>
            <w:vAlign w:val="center"/>
          </w:tcPr>
          <w:p>
            <w:pPr>
              <w:pStyle w:val="35"/>
              <w:spacing w:line="240" w:lineRule="auto"/>
              <w:ind w:firstLine="0" w:firstLineChars="0"/>
              <w:jc w:val="center"/>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eastAsia="zh-CN"/>
                <w14:textFill>
                  <w14:solidFill>
                    <w14:schemeClr w14:val="tx1"/>
                  </w14:solidFill>
                </w14:textFill>
              </w:rPr>
              <w:t>梅平高速</w:t>
            </w:r>
            <w:r>
              <w:rPr>
                <w:rFonts w:hint="default" w:ascii="Nimbus Roman No9 L" w:hAnsi="Nimbus Roman No9 L" w:eastAsia="方正仿宋_GBK" w:cs="Nimbus Roman No9 L"/>
                <w:color w:val="000000" w:themeColor="text1"/>
                <w14:textFill>
                  <w14:solidFill>
                    <w14:schemeClr w14:val="tx1"/>
                  </w14:solidFill>
                </w14:textFill>
              </w:rPr>
              <w:t>长田</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现有</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8746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中行镇</w:t>
            </w:r>
          </w:p>
        </w:tc>
        <w:tc>
          <w:tcPr>
            <w:tcW w:w="2729" w:type="dxa"/>
            <w:vAlign w:val="center"/>
          </w:tcPr>
          <w:p>
            <w:pPr>
              <w:pStyle w:val="35"/>
              <w:spacing w:line="240" w:lineRule="auto"/>
              <w:ind w:firstLine="0" w:firstLineChars="0"/>
              <w:jc w:val="center"/>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eastAsia="zh-CN"/>
                <w14:textFill>
                  <w14:solidFill>
                    <w14:schemeClr w14:val="tx1"/>
                  </w14:solidFill>
                </w14:textFill>
              </w:rPr>
              <w:t>济广高速</w:t>
            </w:r>
            <w:r>
              <w:rPr>
                <w:rFonts w:hint="default" w:ascii="Nimbus Roman No9 L" w:hAnsi="Nimbus Roman No9 L" w:eastAsia="方正仿宋_GBK" w:cs="Nimbus Roman No9 L"/>
                <w:color w:val="000000" w:themeColor="text1"/>
                <w14:textFill>
                  <w14:solidFill>
                    <w14:schemeClr w14:val="tx1"/>
                  </w14:solidFill>
                </w14:textFill>
              </w:rPr>
              <w:t>河头</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现有</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6851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石正镇</w:t>
            </w:r>
          </w:p>
        </w:tc>
        <w:tc>
          <w:tcPr>
            <w:tcW w:w="2729" w:type="dxa"/>
            <w:vAlign w:val="center"/>
          </w:tcPr>
          <w:p>
            <w:pPr>
              <w:pStyle w:val="35"/>
              <w:spacing w:line="240" w:lineRule="auto"/>
              <w:ind w:firstLine="0" w:firstLineChars="0"/>
              <w:jc w:val="center"/>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eastAsia="zh-CN"/>
                <w14:textFill>
                  <w14:solidFill>
                    <w14:schemeClr w14:val="tx1"/>
                  </w14:solidFill>
                </w14:textFill>
              </w:rPr>
              <w:t>济广高速</w:t>
            </w:r>
            <w:r>
              <w:rPr>
                <w:rFonts w:hint="default" w:ascii="Nimbus Roman No9 L" w:hAnsi="Nimbus Roman No9 L" w:eastAsia="方正仿宋_GBK" w:cs="Nimbus Roman No9 L"/>
                <w:color w:val="000000" w:themeColor="text1"/>
                <w14:textFill>
                  <w14:solidFill>
                    <w14:schemeClr w14:val="tx1"/>
                  </w14:solidFill>
                </w14:textFill>
              </w:rPr>
              <w:t>石正</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现有</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9423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八尺镇</w:t>
            </w:r>
          </w:p>
        </w:tc>
        <w:tc>
          <w:tcPr>
            <w:tcW w:w="2729" w:type="dxa"/>
            <w:vAlign w:val="center"/>
          </w:tcPr>
          <w:p>
            <w:pPr>
              <w:pStyle w:val="35"/>
              <w:spacing w:line="240" w:lineRule="auto"/>
              <w:ind w:firstLine="0" w:firstLineChars="0"/>
              <w:jc w:val="center"/>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eastAsia="zh-CN"/>
                <w14:textFill>
                  <w14:solidFill>
                    <w14:schemeClr w14:val="tx1"/>
                  </w14:solidFill>
                </w14:textFill>
              </w:rPr>
              <w:t>济广高速</w:t>
            </w:r>
            <w:r>
              <w:rPr>
                <w:rFonts w:hint="default" w:ascii="Nimbus Roman No9 L" w:hAnsi="Nimbus Roman No9 L" w:eastAsia="方正仿宋_GBK" w:cs="Nimbus Roman No9 L"/>
                <w:color w:val="000000" w:themeColor="text1"/>
                <w14:textFill>
                  <w14:solidFill>
                    <w14:schemeClr w14:val="tx1"/>
                  </w14:solidFill>
                </w14:textFill>
              </w:rPr>
              <w:t>五指石</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现有</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8654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上举镇</w:t>
            </w:r>
          </w:p>
        </w:tc>
        <w:tc>
          <w:tcPr>
            <w:tcW w:w="2729" w:type="dxa"/>
            <w:vAlign w:val="center"/>
          </w:tcPr>
          <w:p>
            <w:pPr>
              <w:pStyle w:val="35"/>
              <w:spacing w:line="240" w:lineRule="auto"/>
              <w:ind w:firstLine="0" w:firstLineChars="0"/>
              <w:jc w:val="center"/>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eastAsia="zh-CN"/>
                <w14:textFill>
                  <w14:solidFill>
                    <w14:schemeClr w14:val="tx1"/>
                  </w14:solidFill>
                </w14:textFill>
              </w:rPr>
              <w:t>平武高速</w:t>
            </w:r>
            <w:r>
              <w:rPr>
                <w:rFonts w:hint="default" w:ascii="Nimbus Roman No9 L" w:hAnsi="Nimbus Roman No9 L" w:eastAsia="方正仿宋_GBK" w:cs="Nimbus Roman No9 L"/>
                <w:color w:val="000000" w:themeColor="text1"/>
                <w14:textFill>
                  <w14:solidFill>
                    <w14:schemeClr w14:val="tx1"/>
                  </w14:solidFill>
                </w14:textFill>
              </w:rPr>
              <w:t>上举</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规划</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15234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差干镇</w:t>
            </w:r>
          </w:p>
        </w:tc>
        <w:tc>
          <w:tcPr>
            <w:tcW w:w="2729" w:type="dxa"/>
            <w:vAlign w:val="center"/>
          </w:tcPr>
          <w:p>
            <w:pPr>
              <w:pStyle w:val="35"/>
              <w:spacing w:line="240" w:lineRule="auto"/>
              <w:ind w:firstLine="0" w:firstLineChars="0"/>
              <w:jc w:val="center"/>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eastAsia="zh-CN"/>
                <w14:textFill>
                  <w14:solidFill>
                    <w14:schemeClr w14:val="tx1"/>
                  </w14:solidFill>
                </w14:textFill>
              </w:rPr>
              <w:t>平武高速</w:t>
            </w:r>
            <w:r>
              <w:rPr>
                <w:rFonts w:hint="default" w:ascii="Nimbus Roman No9 L" w:hAnsi="Nimbus Roman No9 L" w:eastAsia="方正仿宋_GBK" w:cs="Nimbus Roman No9 L"/>
                <w:color w:val="000000" w:themeColor="text1"/>
                <w14:textFill>
                  <w14:solidFill>
                    <w14:schemeClr w14:val="tx1"/>
                  </w14:solidFill>
                </w14:textFill>
              </w:rPr>
              <w:t>差干</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规划</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15063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东石镇</w:t>
            </w:r>
          </w:p>
        </w:tc>
        <w:tc>
          <w:tcPr>
            <w:tcW w:w="2729" w:type="dxa"/>
            <w:vAlign w:val="center"/>
          </w:tcPr>
          <w:p>
            <w:pPr>
              <w:pStyle w:val="35"/>
              <w:spacing w:line="240" w:lineRule="auto"/>
              <w:ind w:firstLine="0" w:firstLineChars="0"/>
              <w:jc w:val="center"/>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eastAsia="zh-CN"/>
                <w14:textFill>
                  <w14:solidFill>
                    <w14:schemeClr w14:val="tx1"/>
                  </w14:solidFill>
                </w14:textFill>
              </w:rPr>
              <w:t>平武高速</w:t>
            </w:r>
            <w:r>
              <w:rPr>
                <w:rFonts w:hint="default" w:ascii="Nimbus Roman No9 L" w:hAnsi="Nimbus Roman No9 L" w:eastAsia="方正仿宋_GBK" w:cs="Nimbus Roman No9 L"/>
                <w:color w:val="000000" w:themeColor="text1"/>
                <w14:textFill>
                  <w14:solidFill>
                    <w14:schemeClr w14:val="tx1"/>
                  </w14:solidFill>
                </w14:textFill>
              </w:rPr>
              <w:t>东石</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规划</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Align w:val="center"/>
          </w:tcPr>
          <w:p>
            <w:pPr>
              <w:pStyle w:val="35"/>
              <w:spacing w:line="240" w:lineRule="auto"/>
              <w:jc w:val="center"/>
              <w:rPr>
                <w:rFonts w:hint="default" w:ascii="Nimbus Roman No9 L" w:hAnsi="Nimbus Roman No9 L" w:eastAsia="方正仿宋_GBK" w:cs="Nimbus Roman No9 L"/>
                <w:color w:val="auto"/>
                <w:lang w:eastAsia="zh-CN"/>
              </w:rPr>
            </w:pPr>
            <w:r>
              <w:rPr>
                <w:rFonts w:hint="default" w:ascii="Nimbus Roman No9 L" w:hAnsi="Nimbus Roman No9 L" w:eastAsia="方正仿宋_GBK" w:cs="Nimbus Roman No9 L"/>
                <w:color w:val="auto"/>
                <w:lang w:eastAsia="zh-CN"/>
              </w:rPr>
              <w:t>中行镇</w:t>
            </w:r>
          </w:p>
        </w:tc>
        <w:tc>
          <w:tcPr>
            <w:tcW w:w="272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000000" w:themeColor="text1"/>
                <w:lang w:val="en-US" w:eastAsia="zh-CN"/>
                <w14:textFill>
                  <w14:solidFill>
                    <w14:schemeClr w14:val="tx1"/>
                  </w14:solidFill>
                </w14:textFill>
              </w:rPr>
            </w:pP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济广高速和平武高速</w:t>
            </w:r>
            <w:r>
              <w:rPr>
                <w:rFonts w:hint="default" w:ascii="Nimbus Roman No9 L" w:hAnsi="Nimbus Roman No9 L" w:eastAsia="方正仿宋_GBK" w:cs="Nimbus Roman No9 L"/>
                <w:color w:val="000000" w:themeColor="text1"/>
                <w:sz w:val="24"/>
                <w:szCs w:val="24"/>
                <w:lang w:eastAsia="zh-CN"/>
                <w14:textFill>
                  <w14:solidFill>
                    <w14:schemeClr w14:val="tx1"/>
                  </w14:solidFill>
                </w14:textFill>
              </w:rPr>
              <w:t>复</w:t>
            </w:r>
            <w:r>
              <w:rPr>
                <w:rFonts w:hint="default" w:ascii="Nimbus Roman No9 L" w:hAnsi="Nimbus Roman No9 L" w:eastAsia="方正仿宋_GBK" w:cs="Nimbus Roman No9 L"/>
                <w:color w:val="000000" w:themeColor="text1"/>
                <w:lang w:eastAsia="zh-CN"/>
                <w14:textFill>
                  <w14:solidFill>
                    <w14:schemeClr w14:val="tx1"/>
                  </w14:solidFill>
                </w14:textFill>
              </w:rPr>
              <w:t>合式枢纽出口</w:t>
            </w:r>
          </w:p>
        </w:tc>
        <w:tc>
          <w:tcPr>
            <w:tcW w:w="2269" w:type="dxa"/>
            <w:vAlign w:val="center"/>
          </w:tcPr>
          <w:p>
            <w:pPr>
              <w:pStyle w:val="35"/>
              <w:spacing w:line="240" w:lineRule="auto"/>
              <w:ind w:firstLine="0" w:firstLineChars="0"/>
              <w:jc w:val="center"/>
              <w:rPr>
                <w:rFonts w:hint="default" w:ascii="Nimbus Roman No9 L" w:hAnsi="Nimbus Roman No9 L" w:eastAsia="方正仿宋_GBK" w:cs="Nimbus Roman No9 L"/>
                <w:color w:val="auto"/>
                <w:kern w:val="0"/>
                <w:sz w:val="24"/>
                <w:szCs w:val="28"/>
                <w:lang w:val="en-US" w:eastAsia="zh-CN" w:bidi="ar-SA"/>
              </w:rPr>
            </w:pPr>
            <w:r>
              <w:rPr>
                <w:rFonts w:hint="default" w:ascii="Nimbus Roman No9 L" w:hAnsi="Nimbus Roman No9 L" w:eastAsia="方正仿宋_GBK" w:cs="Nimbus Roman No9 L"/>
                <w:color w:val="auto"/>
                <w:lang w:eastAsia="zh-CN"/>
              </w:rPr>
              <w:t>规划</w:t>
            </w:r>
          </w:p>
        </w:tc>
        <w:tc>
          <w:tcPr>
            <w:tcW w:w="2269" w:type="dxa"/>
            <w:vAlign w:val="center"/>
          </w:tcPr>
          <w:p>
            <w:pPr>
              <w:pStyle w:val="35"/>
              <w:spacing w:line="240" w:lineRule="auto"/>
              <w:ind w:firstLine="0" w:firstLineChars="0"/>
              <w:jc w:val="center"/>
              <w:rPr>
                <w:rFonts w:hint="default" w:ascii="Nimbus Roman No9 L" w:hAnsi="Nimbus Roman No9 L" w:eastAsia="方正仿宋_GBK" w:cs="Nimbus Roman No9 L"/>
                <w:color w:val="auto"/>
                <w:kern w:val="0"/>
                <w:sz w:val="24"/>
                <w:szCs w:val="28"/>
                <w:lang w:val="en-US" w:eastAsia="zh-CN" w:bidi="ar-SA"/>
              </w:rPr>
            </w:pPr>
            <w:r>
              <w:rPr>
                <w:rFonts w:hint="default" w:ascii="Nimbus Roman No9 L" w:hAnsi="Nimbus Roman No9 L" w:eastAsia="方正仿宋_GBK" w:cs="Nimbus Roman No9 L"/>
                <w:color w:val="auto"/>
              </w:rPr>
              <w:t>60420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Merge w:val="restart"/>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大柘镇</w:t>
            </w:r>
          </w:p>
        </w:tc>
        <w:tc>
          <w:tcPr>
            <w:tcW w:w="2729"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eastAsia="zh-CN"/>
                <w14:textFill>
                  <w14:solidFill>
                    <w14:schemeClr w14:val="tx1"/>
                  </w14:solidFill>
                </w14:textFill>
              </w:rPr>
              <w:t>梅平高速</w:t>
            </w:r>
            <w:r>
              <w:rPr>
                <w:rFonts w:hint="default" w:ascii="Nimbus Roman No9 L" w:hAnsi="Nimbus Roman No9 L" w:eastAsia="方正仿宋_GBK" w:cs="Nimbus Roman No9 L"/>
                <w:color w:val="000000" w:themeColor="text1"/>
                <w14:textFill>
                  <w14:solidFill>
                    <w14:schemeClr w14:val="tx1"/>
                  </w14:solidFill>
                </w14:textFill>
              </w:rPr>
              <w:t>超南</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r>
              <w:rPr>
                <w:rFonts w:hint="default" w:ascii="Nimbus Roman No9 L" w:hAnsi="Nimbus Roman No9 L" w:eastAsia="方正仿宋_GBK" w:cs="Nimbus Roman No9 L"/>
                <w:color w:val="000000" w:themeColor="text1"/>
                <w14:textFill>
                  <w14:solidFill>
                    <w14:schemeClr w14:val="tx1"/>
                  </w14:solidFill>
                </w14:textFill>
              </w:rPr>
              <w:t>、</w:t>
            </w:r>
            <w:r>
              <w:rPr>
                <w:rFonts w:hint="eastAsia" w:ascii="Nimbus Roman No9 L" w:hAnsi="Nimbus Roman No9 L" w:eastAsia="方正仿宋_GBK" w:cs="Nimbus Roman No9 L"/>
                <w:color w:val="000000" w:themeColor="text1"/>
                <w:lang w:eastAsia="zh-CN"/>
                <w14:textFill>
                  <w14:solidFill>
                    <w14:schemeClr w14:val="tx1"/>
                  </w14:solidFill>
                </w14:textFill>
              </w:rPr>
              <w:t>平武高速</w:t>
            </w:r>
            <w:r>
              <w:rPr>
                <w:rFonts w:hint="default" w:ascii="Nimbus Roman No9 L" w:hAnsi="Nimbus Roman No9 L" w:eastAsia="方正仿宋_GBK" w:cs="Nimbus Roman No9 L"/>
                <w:color w:val="000000" w:themeColor="text1"/>
                <w14:textFill>
                  <w14:solidFill>
                    <w14:schemeClr w14:val="tx1"/>
                  </w14:solidFill>
                </w14:textFill>
              </w:rPr>
              <w:t>平远北</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规划</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exact"/>
          <w:jc w:val="center"/>
        </w:trPr>
        <w:tc>
          <w:tcPr>
            <w:tcW w:w="1831" w:type="dxa"/>
            <w:vMerge w:val="continue"/>
            <w:vAlign w:val="center"/>
          </w:tcPr>
          <w:p>
            <w:pPr>
              <w:pStyle w:val="35"/>
              <w:spacing w:line="240" w:lineRule="auto"/>
              <w:jc w:val="center"/>
              <w:rPr>
                <w:rFonts w:hint="default" w:ascii="Nimbus Roman No9 L" w:hAnsi="Nimbus Roman No9 L" w:eastAsia="方正仿宋_GBK" w:cs="Nimbus Roman No9 L"/>
                <w:color w:val="auto"/>
              </w:rPr>
            </w:pPr>
          </w:p>
        </w:tc>
        <w:tc>
          <w:tcPr>
            <w:tcW w:w="2729" w:type="dxa"/>
            <w:vAlign w:val="center"/>
          </w:tcPr>
          <w:p>
            <w:pPr>
              <w:pStyle w:val="35"/>
              <w:spacing w:line="240" w:lineRule="auto"/>
              <w:ind w:firstLine="0" w:firstLineChars="0"/>
              <w:jc w:val="center"/>
              <w:rPr>
                <w:rFonts w:hint="default" w:ascii="Nimbus Roman No9 L" w:hAnsi="Nimbus Roman No9 L" w:eastAsia="方正仿宋_GBK" w:cs="Nimbus Roman No9 L"/>
                <w:color w:val="000000" w:themeColor="text1"/>
                <w14:textFill>
                  <w14:solidFill>
                    <w14:schemeClr w14:val="tx1"/>
                  </w14:solidFill>
                </w14:textFill>
              </w:rPr>
            </w:pPr>
            <w:r>
              <w:rPr>
                <w:rFonts w:hint="eastAsia" w:ascii="Nimbus Roman No9 L" w:hAnsi="Nimbus Roman No9 L" w:eastAsia="方正仿宋_GBK" w:cs="Nimbus Roman No9 L"/>
                <w:color w:val="000000" w:themeColor="text1"/>
                <w:lang w:eastAsia="zh-CN"/>
                <w14:textFill>
                  <w14:solidFill>
                    <w14:schemeClr w14:val="tx1"/>
                  </w14:solidFill>
                </w14:textFill>
              </w:rPr>
              <w:t>济广高速</w:t>
            </w:r>
            <w:r>
              <w:rPr>
                <w:rFonts w:hint="default" w:ascii="Nimbus Roman No9 L" w:hAnsi="Nimbus Roman No9 L" w:eastAsia="方正仿宋_GBK" w:cs="Nimbus Roman No9 L"/>
                <w:color w:val="000000" w:themeColor="text1"/>
                <w14:textFill>
                  <w14:solidFill>
                    <w14:schemeClr w14:val="tx1"/>
                  </w14:solidFill>
                </w14:textFill>
              </w:rPr>
              <w:t>平远</w:t>
            </w:r>
            <w:r>
              <w:rPr>
                <w:rFonts w:hint="eastAsia" w:ascii="Nimbus Roman No9 L" w:hAnsi="Nimbus Roman No9 L" w:eastAsia="方正仿宋_GBK" w:cs="Nimbus Roman No9 L"/>
                <w:color w:val="000000" w:themeColor="text1"/>
                <w:lang w:eastAsia="zh-CN"/>
                <w14:textFill>
                  <w14:solidFill>
                    <w14:schemeClr w14:val="tx1"/>
                  </w14:solidFill>
                </w14:textFill>
              </w:rPr>
              <w:t>出口</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现有</w:t>
            </w:r>
          </w:p>
        </w:tc>
        <w:tc>
          <w:tcPr>
            <w:tcW w:w="2269" w:type="dxa"/>
            <w:vAlign w:val="center"/>
          </w:tcPr>
          <w:p>
            <w:pPr>
              <w:pStyle w:val="35"/>
              <w:spacing w:line="240" w:lineRule="auto"/>
              <w:jc w:val="center"/>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60420</w:t>
            </w:r>
          </w:p>
        </w:tc>
      </w:tr>
    </w:tbl>
    <w:p>
      <w:pPr>
        <w:ind w:firstLine="0" w:firstLineChars="0"/>
        <w:rPr>
          <w:color w:val="auto"/>
        </w:rPr>
      </w:pPr>
      <w:r>
        <w:rPr>
          <w:rFonts w:hint="eastAsia"/>
          <w:color w:val="auto"/>
        </w:rPr>
        <w:drawing>
          <wp:inline distT="0" distB="0" distL="114300" distR="114300">
            <wp:extent cx="5453380" cy="7708265"/>
            <wp:effectExtent l="0" t="0" r="1397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453380" cy="7708265"/>
                    </a:xfrm>
                    <a:prstGeom prst="rect">
                      <a:avLst/>
                    </a:prstGeom>
                  </pic:spPr>
                </pic:pic>
              </a:graphicData>
            </a:graphic>
          </wp:inline>
        </w:drawing>
      </w:r>
    </w:p>
    <w:p>
      <w:pPr>
        <w:pStyle w:val="26"/>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图6-2区域高速公路网布局图</w:t>
      </w:r>
    </w:p>
    <w:bookmarkEnd w:id="48"/>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000000" w:themeColor="text1"/>
          <w:sz w:val="32"/>
          <w:szCs w:val="32"/>
          <w14:textFill>
            <w14:solidFill>
              <w14:schemeClr w14:val="tx1"/>
            </w14:solidFill>
          </w14:textFill>
        </w:rPr>
      </w:pPr>
      <w:bookmarkStart w:id="50" w:name="_Toc21201"/>
      <w:r>
        <w:rPr>
          <w:rFonts w:hint="default" w:ascii="Nimbus Roman No9 L" w:hAnsi="Nimbus Roman No9 L" w:eastAsia="方正楷体_GBK" w:cs="Nimbus Roman No9 L"/>
          <w:b w:val="0"/>
          <w:bCs/>
          <w:color w:val="000000" w:themeColor="text1"/>
          <w:sz w:val="32"/>
          <w:szCs w:val="32"/>
          <w14:textFill>
            <w14:solidFill>
              <w14:schemeClr w14:val="tx1"/>
            </w14:solidFill>
          </w14:textFill>
        </w:rPr>
        <w:t>6.3打造</w:t>
      </w:r>
      <w:r>
        <w:rPr>
          <w:rFonts w:hint="eastAsia" w:ascii="Nimbus Roman No9 L" w:hAnsi="Nimbus Roman No9 L" w:eastAsia="方正楷体_GBK" w:cs="Nimbus Roman No9 L"/>
          <w:b w:val="0"/>
          <w:bCs/>
          <w:color w:val="000000" w:themeColor="text1"/>
          <w:sz w:val="32"/>
          <w:szCs w:val="32"/>
          <w:lang w:eastAsia="zh-CN"/>
          <w14:textFill>
            <w14:solidFill>
              <w14:schemeClr w14:val="tx1"/>
            </w14:solidFill>
          </w14:textFill>
        </w:rPr>
        <w:t>“</w:t>
      </w:r>
      <w:r>
        <w:rPr>
          <w:rFonts w:hint="default" w:ascii="Nimbus Roman No9 L" w:hAnsi="Nimbus Roman No9 L" w:eastAsia="方正楷体_GBK" w:cs="Nimbus Roman No9 L"/>
          <w:b w:val="0"/>
          <w:bCs/>
          <w:color w:val="000000" w:themeColor="text1"/>
          <w:sz w:val="32"/>
          <w:szCs w:val="32"/>
          <w14:textFill>
            <w14:solidFill>
              <w14:schemeClr w14:val="tx1"/>
            </w14:solidFill>
          </w14:textFill>
        </w:rPr>
        <w:t>三纵三横一环</w:t>
      </w:r>
      <w:r>
        <w:rPr>
          <w:rFonts w:hint="eastAsia" w:ascii="Nimbus Roman No9 L" w:hAnsi="Nimbus Roman No9 L" w:eastAsia="方正楷体_GBK" w:cs="Nimbus Roman No9 L"/>
          <w:b w:val="0"/>
          <w:bCs/>
          <w:color w:val="000000" w:themeColor="text1"/>
          <w:sz w:val="32"/>
          <w:szCs w:val="32"/>
          <w:lang w:eastAsia="zh-CN"/>
          <w14:textFill>
            <w14:solidFill>
              <w14:schemeClr w14:val="tx1"/>
            </w14:solidFill>
          </w14:textFill>
        </w:rPr>
        <w:t>”</w:t>
      </w:r>
      <w:r>
        <w:rPr>
          <w:rFonts w:hint="default" w:ascii="Nimbus Roman No9 L" w:hAnsi="Nimbus Roman No9 L" w:eastAsia="方正楷体_GBK" w:cs="Nimbus Roman No9 L"/>
          <w:b w:val="0"/>
          <w:bCs/>
          <w:color w:val="000000" w:themeColor="text1"/>
          <w:sz w:val="32"/>
          <w:szCs w:val="32"/>
          <w14:textFill>
            <w14:solidFill>
              <w14:schemeClr w14:val="tx1"/>
            </w14:solidFill>
          </w14:textFill>
        </w:rPr>
        <w:t>国省干线骨架</w:t>
      </w:r>
      <w:bookmarkEnd w:id="50"/>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全面推进县内国省干线升级与连通，根据平远县普通国省道和县道网规划布局，以及各干线公路的走向和承担的交通功能，规划将平远县干线公路总体布局方案确定为“三纵三横一环”骨架结构，总里程约522公里，总投资378775万元。</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51" w:name="_Toc30839"/>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（一）“三纵”：</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（1）纵一线：国道G206线平远县牛埃石至大柘段改建工程，国道G206线平远县超竹至梅平径段改建工程。规划线路总里程39.3km（其中牛埃石至大柘段改建工程24.7km、超竹至梅平径段改建工程14.6km）。</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（2）纵二线：S334+S239，省道S334线平远上举畲脑至仁居段（9.5km）、省道S239线平远长田至禾礤段（6.5km）、省道S239线平远上举畲脑至大柘坝头段（20.86km），规划总里程36.68km。</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（3）纵三线：S239+X959+S332+X038，X038线汶水至湍溪（38km），省道S332线平远县东石麻园岗至大柘坑公背段（16.7km）、省道S239线平远热柘至长田段（10.28km），规划总里程64.98km。</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（二）“三横”：</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（1）横一线：国道G358线平远县湍溪至八尺段，二级公路改建，全长35.96公里，路基宽12米，沥青砼路面，规划总里程35.96km。</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（2）横二线：X966吾均线（7.2km）、X042线中行至超南（67.4km）、X041快黄线（6.8km）、X038线汶水至湍溪（38km），规划总里程119.4km。</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（3）横三线：省道S225线平远县大柘至石正段改建工程（8.316km）、省道S225线平远县石正至牵牛栋段一级公路改建工程（7.914km），规划总里程16.23km。</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（三）“一环”：</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国道G206线平远县田螺纽至超竹段，一级公路新建，全长13.77km，路基宽25.5m，沥青砼路面。</w:t>
      </w:r>
    </w:p>
    <w:p>
      <w:pPr>
        <w:pStyle w:val="27"/>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表6-7平远县“三纵三横一环”国省干线骨架</w:t>
      </w:r>
    </w:p>
    <w:tbl>
      <w:tblPr>
        <w:tblStyle w:val="22"/>
        <w:tblW w:w="9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3034"/>
        <w:gridCol w:w="1844"/>
        <w:gridCol w:w="1847"/>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98" w:type="dxa"/>
            <w:shd w:val="clear" w:color="auto" w:fill="DEEAF6" w:themeFill="accent1" w:themeFillTint="33"/>
            <w:vAlign w:val="center"/>
          </w:tcPr>
          <w:p>
            <w:pPr>
              <w:pStyle w:val="35"/>
              <w:rPr>
                <w:color w:val="auto"/>
              </w:rPr>
            </w:pPr>
            <w:r>
              <w:rPr>
                <w:rFonts w:hint="eastAsia"/>
                <w:color w:val="auto"/>
              </w:rPr>
              <w:t>骨架</w:t>
            </w:r>
          </w:p>
        </w:tc>
        <w:tc>
          <w:tcPr>
            <w:tcW w:w="3034" w:type="dxa"/>
            <w:shd w:val="clear" w:color="auto" w:fill="DEEAF6" w:themeFill="accent1" w:themeFillTint="33"/>
            <w:vAlign w:val="center"/>
          </w:tcPr>
          <w:p>
            <w:pPr>
              <w:pStyle w:val="35"/>
              <w:rPr>
                <w:color w:val="auto"/>
              </w:rPr>
            </w:pPr>
            <w:r>
              <w:rPr>
                <w:rFonts w:hint="eastAsia"/>
                <w:color w:val="auto"/>
              </w:rPr>
              <w:t>骨架构成</w:t>
            </w:r>
          </w:p>
        </w:tc>
        <w:tc>
          <w:tcPr>
            <w:tcW w:w="1844" w:type="dxa"/>
            <w:shd w:val="clear" w:color="auto" w:fill="DEEAF6" w:themeFill="accent1" w:themeFillTint="33"/>
            <w:vAlign w:val="center"/>
          </w:tcPr>
          <w:p>
            <w:pPr>
              <w:pStyle w:val="35"/>
              <w:rPr>
                <w:color w:val="auto"/>
              </w:rPr>
            </w:pPr>
            <w:r>
              <w:rPr>
                <w:rFonts w:hint="eastAsia"/>
                <w:color w:val="auto"/>
              </w:rPr>
              <w:t>里程（</w:t>
            </w:r>
            <w:r>
              <w:rPr>
                <w:rFonts w:hint="eastAsia"/>
                <w:color w:val="auto"/>
                <w:lang w:eastAsia="zh-CN"/>
              </w:rPr>
              <w:t>km</w:t>
            </w:r>
            <w:r>
              <w:rPr>
                <w:rFonts w:hint="eastAsia"/>
                <w:color w:val="auto"/>
              </w:rPr>
              <w:t>）</w:t>
            </w:r>
          </w:p>
        </w:tc>
        <w:tc>
          <w:tcPr>
            <w:tcW w:w="1847" w:type="dxa"/>
            <w:shd w:val="clear" w:color="auto" w:fill="DEEAF6" w:themeFill="accent1" w:themeFillTint="33"/>
            <w:vAlign w:val="center"/>
          </w:tcPr>
          <w:p>
            <w:pPr>
              <w:pStyle w:val="35"/>
              <w:rPr>
                <w:color w:val="auto"/>
              </w:rPr>
            </w:pPr>
            <w:r>
              <w:rPr>
                <w:rFonts w:hint="eastAsia"/>
                <w:color w:val="auto"/>
              </w:rPr>
              <w:t>建设时期</w:t>
            </w:r>
          </w:p>
        </w:tc>
        <w:tc>
          <w:tcPr>
            <w:tcW w:w="1847" w:type="dxa"/>
            <w:shd w:val="clear" w:color="auto" w:fill="DEEAF6" w:themeFill="accent1" w:themeFillTint="33"/>
            <w:vAlign w:val="center"/>
          </w:tcPr>
          <w:p>
            <w:pPr>
              <w:pStyle w:val="35"/>
              <w:rPr>
                <w:color w:val="auto"/>
              </w:rPr>
            </w:pPr>
            <w:r>
              <w:rPr>
                <w:rFonts w:hint="eastAsia"/>
                <w:color w:val="auto"/>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98"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纵一</w:t>
            </w:r>
          </w:p>
        </w:tc>
        <w:tc>
          <w:tcPr>
            <w:tcW w:w="303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G206</w:t>
            </w:r>
          </w:p>
        </w:tc>
        <w:tc>
          <w:tcPr>
            <w:tcW w:w="184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39.3</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2024</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2028</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136616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98"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纵二</w:t>
            </w:r>
          </w:p>
        </w:tc>
        <w:tc>
          <w:tcPr>
            <w:tcW w:w="303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S334+S239</w:t>
            </w:r>
          </w:p>
        </w:tc>
        <w:tc>
          <w:tcPr>
            <w:tcW w:w="1844" w:type="dxa"/>
            <w:shd w:val="clear" w:color="auto" w:fill="auto"/>
            <w:vAlign w:val="center"/>
          </w:tcPr>
          <w:p>
            <w:pPr>
              <w:pStyle w:val="35"/>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lang w:val="en-US" w:eastAsia="zh-CN"/>
              </w:rPr>
              <w:t>36.68</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2024</w:t>
            </w:r>
          </w:p>
        </w:tc>
        <w:tc>
          <w:tcPr>
            <w:tcW w:w="1847" w:type="dxa"/>
            <w:shd w:val="clear" w:color="auto" w:fill="auto"/>
            <w:vAlign w:val="center"/>
          </w:tcPr>
          <w:p>
            <w:pPr>
              <w:pStyle w:val="35"/>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lang w:val="en-US" w:eastAsia="zh-CN"/>
              </w:rPr>
              <w:t>44232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98"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纵三</w:t>
            </w:r>
          </w:p>
        </w:tc>
        <w:tc>
          <w:tcPr>
            <w:tcW w:w="303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S239+X959+S332+X038</w:t>
            </w:r>
          </w:p>
        </w:tc>
        <w:tc>
          <w:tcPr>
            <w:tcW w:w="184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64.98</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2023</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2028</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132800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98"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横一</w:t>
            </w:r>
          </w:p>
        </w:tc>
        <w:tc>
          <w:tcPr>
            <w:tcW w:w="303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G358</w:t>
            </w:r>
          </w:p>
        </w:tc>
        <w:tc>
          <w:tcPr>
            <w:tcW w:w="184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35.96</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2019</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2021</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98"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横二</w:t>
            </w:r>
          </w:p>
        </w:tc>
        <w:tc>
          <w:tcPr>
            <w:tcW w:w="3034" w:type="dxa"/>
            <w:shd w:val="clear" w:color="auto" w:fill="auto"/>
            <w:vAlign w:val="center"/>
          </w:tcPr>
          <w:p>
            <w:pPr>
              <w:pStyle w:val="35"/>
              <w:rPr>
                <w:rFonts w:hint="default" w:ascii="Nimbus Roman No9 L" w:hAnsi="Nimbus Roman No9 L" w:eastAsia="方正仿宋_GBK" w:cs="Nimbus Roman No9 L"/>
                <w:color w:val="auto"/>
                <w:lang w:val="en-US" w:eastAsia="zh-CN"/>
              </w:rPr>
            </w:pPr>
            <w:r>
              <w:rPr>
                <w:rFonts w:hint="default" w:ascii="Nimbus Roman No9 L" w:hAnsi="Nimbus Roman No9 L" w:eastAsia="方正仿宋_GBK" w:cs="Nimbus Roman No9 L"/>
                <w:color w:val="auto"/>
              </w:rPr>
              <w:t>X966+X042+X041</w:t>
            </w:r>
            <w:r>
              <w:rPr>
                <w:rFonts w:hint="default" w:ascii="Nimbus Roman No9 L" w:hAnsi="Nimbus Roman No9 L" w:eastAsia="方正仿宋_GBK" w:cs="Nimbus Roman No9 L"/>
                <w:color w:val="auto"/>
                <w:lang w:val="en-US" w:eastAsia="zh-CN"/>
              </w:rPr>
              <w:t>+811</w:t>
            </w:r>
          </w:p>
        </w:tc>
        <w:tc>
          <w:tcPr>
            <w:tcW w:w="184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119.4</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143200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98"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横三</w:t>
            </w:r>
          </w:p>
        </w:tc>
        <w:tc>
          <w:tcPr>
            <w:tcW w:w="303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S225</w:t>
            </w:r>
          </w:p>
        </w:tc>
        <w:tc>
          <w:tcPr>
            <w:tcW w:w="184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16.23</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2020</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39149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98"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一环</w:t>
            </w:r>
          </w:p>
        </w:tc>
        <w:tc>
          <w:tcPr>
            <w:tcW w:w="303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G206（田螺纽至超竹段）</w:t>
            </w:r>
          </w:p>
        </w:tc>
        <w:tc>
          <w:tcPr>
            <w:tcW w:w="1844"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13.77</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2019</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2021</w:t>
            </w:r>
          </w:p>
        </w:tc>
        <w:tc>
          <w:tcPr>
            <w:tcW w:w="1847" w:type="dxa"/>
            <w:shd w:val="clear" w:color="auto" w:fill="auto"/>
            <w:vAlign w:val="center"/>
          </w:tcPr>
          <w:p>
            <w:pPr>
              <w:pStyle w:val="35"/>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60244</w:t>
            </w:r>
          </w:p>
        </w:tc>
      </w:tr>
    </w:tbl>
    <w:p>
      <w:pPr>
        <w:tabs>
          <w:tab w:val="left" w:pos="1260"/>
        </w:tabs>
        <w:spacing w:line="580" w:lineRule="exact"/>
        <w:ind w:firstLine="0" w:firstLineChars="0"/>
        <w:rPr>
          <w:rFonts w:ascii="宋体" w:hAnsi="宋体"/>
          <w:b/>
          <w:color w:val="auto"/>
          <w:sz w:val="28"/>
          <w:szCs w:val="28"/>
          <w:highlight w:val="yellow"/>
          <w:u w:val="single"/>
        </w:rPr>
      </w:pPr>
    </w:p>
    <w:p>
      <w:pPr>
        <w:pStyle w:val="40"/>
        <w:ind w:firstLine="0" w:firstLineChars="0"/>
        <w:jc w:val="center"/>
        <w:rPr>
          <w:color w:val="auto"/>
        </w:rPr>
      </w:pPr>
      <w:r>
        <w:rPr>
          <w:rFonts w:hint="eastAsia"/>
          <w:color w:val="auto"/>
        </w:rPr>
        <w:drawing>
          <wp:inline distT="0" distB="0" distL="114300" distR="114300">
            <wp:extent cx="5311775" cy="7507605"/>
            <wp:effectExtent l="0" t="0" r="317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311775" cy="7507605"/>
                    </a:xfrm>
                    <a:prstGeom prst="rect">
                      <a:avLst/>
                    </a:prstGeom>
                  </pic:spPr>
                </pic:pic>
              </a:graphicData>
            </a:graphic>
          </wp:inline>
        </w:drawing>
      </w:r>
    </w:p>
    <w:p>
      <w:pPr>
        <w:pStyle w:val="2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图6-3平远县公路路网规划布局图</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Nimbus Roman No9 L" w:hAnsi="Nimbus Roman No9 L" w:eastAsia="方正楷体_GBK" w:cs="Nimbus Roman No9 L"/>
          <w:b w:val="0"/>
          <w:bCs/>
          <w:color w:val="auto"/>
          <w:sz w:val="32"/>
          <w:szCs w:val="32"/>
        </w:rPr>
      </w:pPr>
      <w:bookmarkStart w:id="52" w:name="_Toc26309"/>
      <w:r>
        <w:rPr>
          <w:rFonts w:hint="eastAsia" w:ascii="Nimbus Roman No9 L" w:hAnsi="Nimbus Roman No9 L" w:eastAsia="方正楷体_GBK" w:cs="Nimbus Roman No9 L"/>
          <w:b w:val="0"/>
          <w:bCs/>
          <w:color w:val="auto"/>
          <w:sz w:val="32"/>
          <w:szCs w:val="32"/>
        </w:rPr>
        <w:t>6.</w:t>
      </w:r>
      <w:r>
        <w:rPr>
          <w:rFonts w:hint="eastAsia" w:ascii="Nimbus Roman No9 L" w:hAnsi="Nimbus Roman No9 L" w:eastAsia="方正楷体_GBK" w:cs="Nimbus Roman No9 L"/>
          <w:b w:val="0"/>
          <w:bCs/>
          <w:color w:val="auto"/>
          <w:sz w:val="32"/>
          <w:szCs w:val="32"/>
          <w:lang w:val="en-US" w:eastAsia="zh-CN"/>
        </w:rPr>
        <w:t>4</w:t>
      </w:r>
      <w:r>
        <w:rPr>
          <w:rFonts w:hint="eastAsia" w:ascii="Nimbus Roman No9 L" w:hAnsi="Nimbus Roman No9 L" w:eastAsia="方正楷体_GBK" w:cs="Nimbus Roman No9 L"/>
          <w:b w:val="0"/>
          <w:bCs/>
          <w:color w:val="auto"/>
          <w:sz w:val="32"/>
          <w:szCs w:val="32"/>
        </w:rPr>
        <w:t>提升综合客运服务品质，</w:t>
      </w:r>
      <w:bookmarkEnd w:id="51"/>
      <w:r>
        <w:rPr>
          <w:rFonts w:hint="eastAsia" w:ascii="Nimbus Roman No9 L" w:hAnsi="Nimbus Roman No9 L" w:eastAsia="方正楷体_GBK" w:cs="Nimbus Roman No9 L"/>
          <w:b w:val="0"/>
          <w:bCs/>
          <w:color w:val="auto"/>
          <w:sz w:val="32"/>
          <w:szCs w:val="32"/>
        </w:rPr>
        <w:t>打造特色的县级公交服务</w:t>
      </w:r>
      <w:bookmarkEnd w:id="52"/>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bookmarkStart w:id="53" w:name="_Toc31893"/>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优先发展公共交通是平远县城市交通战略中必须坚持和发展的方向。在政策、资金上向公共交通发展倾斜，大幅度提高公共交通系统规模，努力提高公交车出行方式的比例，逐步调整居民出行结构，适应城市发展和交通需求。</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公交场站：加强、加快、加密公交基础设施停靠站、首末站、枢纽站、停车场、保养场建设，构建布局合理、规模充足的公交枢纽和综合场站系统，通过公交枢纽和场站建设，优化网络布局，提高运营效率，节省运营成本，保障公交可持续及高使用率发展。完善公交枢纽周边的慢行路径、出租车停靠站、自行车停放区等接驳设施，提升客运服务的覆盖范围、服务能力及换乘舒适度。</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公交、客运路线：根据公交客流需求分布和线网布设，合理调整平远县现有的公交网络结构，新增需要的公交线路，构建层次分明、结构合理、功能明确的公交线网。规划和建设公交专用道系统，开展路口公交优先研究，提高公交运行效率，适应和建立城乡一体化前提下的城乡公交统筹格局。目前，平远县共有公交路线6条，分别为1路、2路、3路、4路、5路、6路，公交线路不够密集、覆盖范围小、无法满足城乡居民的交通出行需求。故根据现有实际情况增设县城通往各镇区及主要区域的往返公交路线，新增10条以上路线，规划路线见第五章表5-10。</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扩大公交服务广度和深度。</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积极推进城镇公共交通设施建设，强化城镇公交与其他交通方式的衔接。在提高城镇公交站点覆盖率的基础上，提升公共交通网络通达深度，并合理提高发车频率，加大公交专用道建设力度，优先在城镇中心城区及交通密集区域形成连续、成网的公交专用道，提高公交运营速度。</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加快落实新公交线路的建设。</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充分了解居民对公共交通的需求，结合我县居民需要，加快新公交线路的建设与实施，搭建出行方便快捷、利于当地人民生活的公交线路。进一步调整、增设、优化公交线网，加强公交线路与新建瑞梅铁路平远站的接驳运营。加强与其他客运站、旅游景点、工业园区的衔接。不断优化公交运营</w:t>
      </w:r>
      <w:r>
        <w:rPr>
          <w:rFonts w:hint="eastAsia" w:ascii="Nimbus Roman No9 L" w:hAnsi="Nimbus Roman No9 L" w:eastAsia="方正仿宋简体" w:cs="Nimbus Roman No9 L"/>
          <w:b w:val="0"/>
          <w:bCs w:val="0"/>
          <w:color w:val="000000" w:themeColor="text1"/>
          <w:spacing w:val="-6"/>
          <w:kern w:val="2"/>
          <w:sz w:val="32"/>
          <w:szCs w:val="32"/>
          <w:lang w:val="en-US" w:eastAsia="zh-CN" w:bidi="ar-SA"/>
          <w14:textFill>
            <w14:solidFill>
              <w14:schemeClr w14:val="tx1"/>
            </w14:solidFill>
          </w14:textFill>
        </w:rPr>
        <w:t>组织，鼓励发展定制化公交，实现公交运营多元化、个性化、品质化。</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bCs/>
          <w:color w:val="000000" w:themeColor="text1"/>
          <w:kern w:val="2"/>
          <w:sz w:val="32"/>
          <w:szCs w:val="32"/>
          <w:lang w:val="en-US" w:eastAsia="zh-CN" w:bidi="ar-SA"/>
          <w14:textFill>
            <w14:solidFill>
              <w14:schemeClr w14:val="tx1"/>
            </w14:solidFill>
          </w14:textFill>
        </w:rPr>
        <w:t>优化公交票制票价。</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完善城市公交票制票价制定、发展水平评价、服务质量考核等工作机制和政府补贴补偿政策。适时启动《公共汽电车票价改革政策研究》和《公共汽电车票价调整方案研究》，建立符合平远城市与交通出行特点的多层次、差别化的票价体系。研究推出“三日通”“周卡”等多元化票种，为短期来平远旅游、参加商务活动的乘客提供便利。</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客运枢纽：在县域综合客运枢纽布局方面，“十四五”时期，平远县内要构建层次分明、布局集约化、衔接网络化、换乘便捷化、运行高效化、服务精细化的综合客运枢纽，构建“以换乘枢纽为核心，协调各种交通方式，形成集约、高效的客运交通体系”。</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auto"/>
          <w:kern w:val="2"/>
          <w:sz w:val="32"/>
          <w:szCs w:val="32"/>
          <w:lang w:val="en-US" w:eastAsia="zh-CN" w:bidi="ar-SA"/>
        </w:rPr>
        <w:t>“十四五”时期，为协调县内综合交通运输体系发展与客运集散相匹配的问题，规划新建平远县火车站综合交通运输枢纽及瑞梅铁路连接大道，作为旅客集散中心，缓解县内客运压力，同时新建大柘镇客运站，为周边居民出行提供便利。具体建设内容如表6-8</w:t>
      </w: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所示。</w:t>
      </w:r>
    </w:p>
    <w:p>
      <w:pPr>
        <w:pStyle w:val="27"/>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表6-8  平远县“十四五”客运枢纽重点建设表</w:t>
      </w:r>
    </w:p>
    <w:tbl>
      <w:tblPr>
        <w:tblStyle w:val="22"/>
        <w:tblW w:w="9570" w:type="dxa"/>
        <w:jc w:val="center"/>
        <w:tblInd w:w="0" w:type="dxa"/>
        <w:tblLayout w:type="fixed"/>
        <w:tblCellMar>
          <w:top w:w="0" w:type="dxa"/>
          <w:left w:w="108" w:type="dxa"/>
          <w:bottom w:w="0" w:type="dxa"/>
          <w:right w:w="108" w:type="dxa"/>
        </w:tblCellMar>
      </w:tblPr>
      <w:tblGrid>
        <w:gridCol w:w="751"/>
        <w:gridCol w:w="2425"/>
        <w:gridCol w:w="751"/>
        <w:gridCol w:w="3061"/>
        <w:gridCol w:w="1432"/>
        <w:gridCol w:w="1150"/>
      </w:tblGrid>
      <w:tr>
        <w:tblPrEx>
          <w:tblLayout w:type="fixed"/>
        </w:tblPrEx>
        <w:trPr>
          <w:trHeight w:val="920" w:hRule="atLeast"/>
          <w:jc w:val="center"/>
        </w:trPr>
        <w:tc>
          <w:tcPr>
            <w:tcW w:w="751"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序号</w:t>
            </w:r>
          </w:p>
        </w:tc>
        <w:tc>
          <w:tcPr>
            <w:tcW w:w="2425"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项目名称</w:t>
            </w:r>
          </w:p>
        </w:tc>
        <w:tc>
          <w:tcPr>
            <w:tcW w:w="751"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建设阶段</w:t>
            </w:r>
          </w:p>
        </w:tc>
        <w:tc>
          <w:tcPr>
            <w:tcW w:w="3061"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建设内容及规模</w:t>
            </w:r>
          </w:p>
        </w:tc>
        <w:tc>
          <w:tcPr>
            <w:tcW w:w="1432"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起止年限</w:t>
            </w:r>
          </w:p>
        </w:tc>
        <w:tc>
          <w:tcPr>
            <w:tcW w:w="1150"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总投资（万元）</w:t>
            </w:r>
          </w:p>
        </w:tc>
      </w:tr>
      <w:tr>
        <w:tblPrEx>
          <w:tblLayout w:type="fixed"/>
          <w:tblCellMar>
            <w:top w:w="0" w:type="dxa"/>
            <w:left w:w="108" w:type="dxa"/>
            <w:bottom w:w="0" w:type="dxa"/>
            <w:right w:w="108" w:type="dxa"/>
          </w:tblCellMar>
        </w:tblPrEx>
        <w:trPr>
          <w:trHeight w:val="1425" w:hRule="atLeast"/>
          <w:jc w:val="center"/>
        </w:trPr>
        <w:tc>
          <w:tcPr>
            <w:tcW w:w="751" w:type="dxa"/>
            <w:tcBorders>
              <w:top w:val="nil"/>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2425"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火车站综合交通枢纽</w:t>
            </w:r>
          </w:p>
        </w:tc>
        <w:tc>
          <w:tcPr>
            <w:tcW w:w="751"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新开工</w:t>
            </w:r>
          </w:p>
        </w:tc>
        <w:tc>
          <w:tcPr>
            <w:tcW w:w="3061"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旅客集散广场，公交车站、停车场、充电站。客（货）进站大道。</w:t>
            </w:r>
          </w:p>
        </w:tc>
        <w:tc>
          <w:tcPr>
            <w:tcW w:w="1432"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2022</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c>
          <w:tcPr>
            <w:tcW w:w="1150"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32000</w:t>
            </w:r>
          </w:p>
        </w:tc>
      </w:tr>
      <w:tr>
        <w:tblPrEx>
          <w:tblLayout w:type="fixed"/>
          <w:tblCellMar>
            <w:top w:w="0" w:type="dxa"/>
            <w:left w:w="108" w:type="dxa"/>
            <w:bottom w:w="0" w:type="dxa"/>
            <w:right w:w="108" w:type="dxa"/>
          </w:tblCellMar>
        </w:tblPrEx>
        <w:trPr>
          <w:trHeight w:val="925" w:hRule="atLeast"/>
          <w:jc w:val="center"/>
        </w:trPr>
        <w:tc>
          <w:tcPr>
            <w:tcW w:w="751" w:type="dxa"/>
            <w:tcBorders>
              <w:top w:val="nil"/>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w:t>
            </w:r>
          </w:p>
        </w:tc>
        <w:tc>
          <w:tcPr>
            <w:tcW w:w="2425"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平远县大柘镇客运站</w:t>
            </w:r>
          </w:p>
        </w:tc>
        <w:tc>
          <w:tcPr>
            <w:tcW w:w="751"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新建</w:t>
            </w:r>
          </w:p>
        </w:tc>
        <w:tc>
          <w:tcPr>
            <w:tcW w:w="3061"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客运枢纽（游客、居民集散）</w:t>
            </w:r>
          </w:p>
        </w:tc>
        <w:tc>
          <w:tcPr>
            <w:tcW w:w="1432"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2023</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c>
          <w:tcPr>
            <w:tcW w:w="1150"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1000</w:t>
            </w:r>
          </w:p>
        </w:tc>
      </w:tr>
    </w:tbl>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rPr>
      </w:pPr>
      <w:bookmarkStart w:id="54" w:name="_Toc16785"/>
      <w:r>
        <w:rPr>
          <w:rFonts w:hint="eastAsia" w:ascii="Nimbus Roman No9 L" w:hAnsi="Nimbus Roman No9 L" w:eastAsia="方正楷体_GBK" w:cs="Nimbus Roman No9 L"/>
          <w:b w:val="0"/>
          <w:bCs/>
          <w:color w:val="auto"/>
          <w:sz w:val="32"/>
          <w:szCs w:val="32"/>
        </w:rPr>
        <w:t>6.</w:t>
      </w:r>
      <w:r>
        <w:rPr>
          <w:rFonts w:hint="eastAsia" w:ascii="Nimbus Roman No9 L" w:hAnsi="Nimbus Roman No9 L" w:eastAsia="方正楷体_GBK" w:cs="Nimbus Roman No9 L"/>
          <w:b w:val="0"/>
          <w:bCs/>
          <w:color w:val="auto"/>
          <w:sz w:val="32"/>
          <w:szCs w:val="32"/>
          <w:lang w:val="en-US" w:eastAsia="zh-CN"/>
        </w:rPr>
        <w:t>5</w:t>
      </w:r>
      <w:r>
        <w:rPr>
          <w:rFonts w:hint="eastAsia" w:ascii="Nimbus Roman No9 L" w:hAnsi="Nimbus Roman No9 L" w:eastAsia="方正楷体_GBK" w:cs="Nimbus Roman No9 L"/>
          <w:b w:val="0"/>
          <w:bCs/>
          <w:color w:val="auto"/>
          <w:sz w:val="32"/>
          <w:szCs w:val="32"/>
        </w:rPr>
        <w:t>加强物流节点建设强化物流设施</w:t>
      </w:r>
      <w:bookmarkEnd w:id="54"/>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货运枢纽和物流园区：物流园区是将众多物流企业、物流服务商、物流设施设备和物流信息资源聚集在一起，实行专业化、规模化、集约化物流运作的场所，其主要目的是发挥物流一体化作业优势，从而提高物流运作效率和物流服务水平。“十四五”时期，平远县公路运输、铁路运输、航空运输将快速发展，为经济社会发展提供源源不断的动力，可以从以下方面着手将该动力转化为推动县域经济社会发展的支柱。</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pPr>
      <w:r>
        <w:rPr>
          <w:rFonts w:hint="eastAsia" w:ascii="Nimbus Roman No9 L" w:hAnsi="Nimbus Roman No9 L" w:eastAsia="方正仿宋简体" w:cs="Nimbus Roman No9 L"/>
          <w:b w:val="0"/>
          <w:bCs w:val="0"/>
          <w:color w:val="000000" w:themeColor="text1"/>
          <w:kern w:val="2"/>
          <w:sz w:val="32"/>
          <w:szCs w:val="32"/>
          <w:lang w:val="en-US" w:eastAsia="zh-CN" w:bidi="ar-SA"/>
          <w14:textFill>
            <w14:solidFill>
              <w14:schemeClr w14:val="tx1"/>
            </w14:solidFill>
          </w14:textFill>
        </w:rPr>
        <w:t>一是打造“粤闽赣”物流枢纽中心。推动辐射范围广、标准化水平高、综合服务能力强的商贸物流园区、专业批发市场，形成集交易、分拨、仓储、冷链物流、电子商务等多功能于一体的流通服务中心。</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二是引导区域性物流配送中心转型升级。鼓励县物流配送中心由存储型、自建自用型仓库向快速周转型自动化仓库升级，成为提供“一对多”社会化服务的物流节点。</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三是加强商业物流基础设施建设改造。鼓励大型商圈、步行街、</w:t>
      </w:r>
      <w:r>
        <w:rPr>
          <w:rFonts w:hint="eastAsia" w:ascii="Nimbus Roman No9 L" w:hAnsi="Nimbus Roman No9 L" w:eastAsia="方正仿宋简体" w:cs="Nimbus Roman No9 L"/>
          <w:b w:val="0"/>
          <w:bCs w:val="0"/>
          <w:color w:val="auto"/>
          <w:spacing w:val="-11"/>
          <w:kern w:val="2"/>
          <w:sz w:val="32"/>
          <w:szCs w:val="32"/>
          <w:lang w:val="en-US" w:eastAsia="zh-CN" w:bidi="ar-SA"/>
        </w:rPr>
        <w:t>商业街建设公共仓配中心、共享信息平台，提高智慧化、共享化水平。</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物流场站和仓储点：立足县内，面向国内外，充分利用平远县城的区位和公路交通，以县域物流为基础，区域物流为重点，国际物流为主导，构筑以公路运输为主题，铁路运输、航空等多种运输方式相配套的立体交通；应用现代物流理念，采用现代物流管理技术和装备，建立多层次、布局合理、符合市场经济规律并与国际运行规则接轨的快捷准时、经济合理、用户满意的社会化、专业化、规模化、现代化的物流服务体系。</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结合瑞梅铁路建设时间安排，在2025年底前同步建成平远县三期工业园区物流园、平远县城东物流园（平远铁路货运站由铁路部门负责建设）等一批货运枢纽站场，基本建成与平远县经济社会发展相适应、与城乡道路运输发展相协调、满足县内货物运输所需要的货运枢纽体系。</w:t>
      </w:r>
      <w:bookmarkEnd w:id="53"/>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完善枢纽集疏运能力，同时实现各主要枢纽间的快速连接，为推动建立枢纽内各运输方式协同运营机制，提高枢纽内部各运输方式联动运营水平，实现优势互补。“十四五”时期货运枢纽重点建设任务，如表6-9所示：</w:t>
      </w:r>
    </w:p>
    <w:p>
      <w:pPr>
        <w:pStyle w:val="27"/>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表6-9  货运枢纽重点建设项目表</w:t>
      </w:r>
    </w:p>
    <w:tbl>
      <w:tblPr>
        <w:tblStyle w:val="22"/>
        <w:tblW w:w="9570" w:type="dxa"/>
        <w:tblInd w:w="0" w:type="dxa"/>
        <w:tblLayout w:type="fixed"/>
        <w:tblCellMar>
          <w:top w:w="0" w:type="dxa"/>
          <w:left w:w="108" w:type="dxa"/>
          <w:bottom w:w="0" w:type="dxa"/>
          <w:right w:w="108" w:type="dxa"/>
        </w:tblCellMar>
      </w:tblPr>
      <w:tblGrid>
        <w:gridCol w:w="764"/>
        <w:gridCol w:w="2725"/>
        <w:gridCol w:w="849"/>
        <w:gridCol w:w="2582"/>
        <w:gridCol w:w="1533"/>
        <w:gridCol w:w="1117"/>
      </w:tblGrid>
      <w:tr>
        <w:tblPrEx>
          <w:tblLayout w:type="fixed"/>
          <w:tblCellMar>
            <w:top w:w="0" w:type="dxa"/>
            <w:left w:w="108" w:type="dxa"/>
            <w:bottom w:w="0" w:type="dxa"/>
            <w:right w:w="108" w:type="dxa"/>
          </w:tblCellMar>
        </w:tblPrEx>
        <w:trPr>
          <w:trHeight w:val="735" w:hRule="atLeast"/>
        </w:trPr>
        <w:tc>
          <w:tcPr>
            <w:tcW w:w="764"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sz w:val="24"/>
                <w:szCs w:val="24"/>
              </w:rPr>
            </w:pPr>
            <w:r>
              <w:rPr>
                <w:rFonts w:hint="eastAsia"/>
                <w:color w:val="auto"/>
                <w:sz w:val="24"/>
                <w:szCs w:val="24"/>
              </w:rPr>
              <w:t>序号</w:t>
            </w:r>
          </w:p>
        </w:tc>
        <w:tc>
          <w:tcPr>
            <w:tcW w:w="2725"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sz w:val="24"/>
                <w:szCs w:val="24"/>
              </w:rPr>
            </w:pPr>
            <w:r>
              <w:rPr>
                <w:rFonts w:hint="eastAsia"/>
                <w:color w:val="auto"/>
                <w:sz w:val="24"/>
                <w:szCs w:val="24"/>
              </w:rPr>
              <w:t>项目名称</w:t>
            </w:r>
          </w:p>
        </w:tc>
        <w:tc>
          <w:tcPr>
            <w:tcW w:w="849"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sz w:val="24"/>
                <w:szCs w:val="24"/>
              </w:rPr>
            </w:pPr>
            <w:r>
              <w:rPr>
                <w:rFonts w:hint="eastAsia"/>
                <w:color w:val="auto"/>
                <w:sz w:val="24"/>
                <w:szCs w:val="24"/>
              </w:rPr>
              <w:t>建设阶段</w:t>
            </w:r>
          </w:p>
        </w:tc>
        <w:tc>
          <w:tcPr>
            <w:tcW w:w="2582"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sz w:val="24"/>
                <w:szCs w:val="24"/>
              </w:rPr>
            </w:pPr>
            <w:r>
              <w:rPr>
                <w:rFonts w:hint="eastAsia"/>
                <w:color w:val="auto"/>
                <w:sz w:val="24"/>
                <w:szCs w:val="24"/>
              </w:rPr>
              <w:t>建设内容及规模</w:t>
            </w:r>
          </w:p>
        </w:tc>
        <w:tc>
          <w:tcPr>
            <w:tcW w:w="1533"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sz w:val="24"/>
                <w:szCs w:val="24"/>
              </w:rPr>
            </w:pPr>
            <w:r>
              <w:rPr>
                <w:rFonts w:hint="eastAsia"/>
                <w:color w:val="auto"/>
                <w:sz w:val="24"/>
                <w:szCs w:val="24"/>
              </w:rPr>
              <w:t>起止年限</w:t>
            </w:r>
          </w:p>
        </w:tc>
        <w:tc>
          <w:tcPr>
            <w:tcW w:w="1117"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sz w:val="24"/>
                <w:szCs w:val="24"/>
              </w:rPr>
            </w:pPr>
            <w:r>
              <w:rPr>
                <w:rFonts w:hint="eastAsia"/>
                <w:color w:val="auto"/>
                <w:sz w:val="24"/>
                <w:szCs w:val="24"/>
              </w:rPr>
              <w:t>总投资（万元）</w:t>
            </w:r>
          </w:p>
        </w:tc>
      </w:tr>
      <w:tr>
        <w:tblPrEx>
          <w:tblLayout w:type="fixed"/>
          <w:tblCellMar>
            <w:top w:w="0" w:type="dxa"/>
            <w:left w:w="108" w:type="dxa"/>
            <w:bottom w:w="0" w:type="dxa"/>
            <w:right w:w="108" w:type="dxa"/>
          </w:tblCellMar>
        </w:tblPrEx>
        <w:trPr>
          <w:trHeight w:val="90" w:hRule="atLeast"/>
        </w:trPr>
        <w:tc>
          <w:tcPr>
            <w:tcW w:w="764"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w:t>
            </w:r>
          </w:p>
        </w:tc>
        <w:tc>
          <w:tcPr>
            <w:tcW w:w="2725"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平远县三期工业园区</w:t>
            </w:r>
          </w:p>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物流园</w:t>
            </w:r>
          </w:p>
        </w:tc>
        <w:tc>
          <w:tcPr>
            <w:tcW w:w="849"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新建</w:t>
            </w:r>
          </w:p>
        </w:tc>
        <w:tc>
          <w:tcPr>
            <w:tcW w:w="2582"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物流园（30亩）</w:t>
            </w:r>
          </w:p>
        </w:tc>
        <w:tc>
          <w:tcPr>
            <w:tcW w:w="153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2023</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11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20000</w:t>
            </w:r>
          </w:p>
        </w:tc>
      </w:tr>
      <w:tr>
        <w:tblPrEx>
          <w:tblLayout w:type="fixed"/>
          <w:tblCellMar>
            <w:top w:w="0" w:type="dxa"/>
            <w:left w:w="108" w:type="dxa"/>
            <w:bottom w:w="0" w:type="dxa"/>
            <w:right w:w="108" w:type="dxa"/>
          </w:tblCellMar>
        </w:tblPrEx>
        <w:trPr>
          <w:trHeight w:val="600" w:hRule="atLeast"/>
        </w:trPr>
        <w:tc>
          <w:tcPr>
            <w:tcW w:w="764"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w:t>
            </w:r>
          </w:p>
        </w:tc>
        <w:tc>
          <w:tcPr>
            <w:tcW w:w="2725"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平远县城东物流园</w:t>
            </w:r>
          </w:p>
        </w:tc>
        <w:tc>
          <w:tcPr>
            <w:tcW w:w="849"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新建</w:t>
            </w:r>
          </w:p>
        </w:tc>
        <w:tc>
          <w:tcPr>
            <w:tcW w:w="2582"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物流园（37.5亩）</w:t>
            </w:r>
          </w:p>
        </w:tc>
        <w:tc>
          <w:tcPr>
            <w:tcW w:w="153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2028</w:t>
            </w:r>
          </w:p>
        </w:tc>
        <w:tc>
          <w:tcPr>
            <w:tcW w:w="1117"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25000</w:t>
            </w:r>
          </w:p>
        </w:tc>
      </w:tr>
    </w:tbl>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rPr>
      </w:pPr>
      <w:bookmarkStart w:id="55" w:name="_Toc1380"/>
      <w:r>
        <w:rPr>
          <w:rFonts w:hint="eastAsia" w:ascii="Nimbus Roman No9 L" w:hAnsi="Nimbus Roman No9 L" w:eastAsia="方正楷体_GBK" w:cs="Nimbus Roman No9 L"/>
          <w:b w:val="0"/>
          <w:bCs/>
          <w:color w:val="auto"/>
          <w:sz w:val="32"/>
          <w:szCs w:val="32"/>
        </w:rPr>
        <w:t>6.</w:t>
      </w:r>
      <w:r>
        <w:rPr>
          <w:rFonts w:hint="eastAsia" w:ascii="Nimbus Roman No9 L" w:hAnsi="Nimbus Roman No9 L" w:eastAsia="方正楷体_GBK" w:cs="Nimbus Roman No9 L"/>
          <w:b w:val="0"/>
          <w:bCs/>
          <w:color w:val="auto"/>
          <w:sz w:val="32"/>
          <w:szCs w:val="32"/>
          <w:lang w:val="en-US" w:eastAsia="zh-CN"/>
        </w:rPr>
        <w:t>6</w:t>
      </w:r>
      <w:r>
        <w:rPr>
          <w:rFonts w:hint="eastAsia" w:ascii="Nimbus Roman No9 L" w:hAnsi="Nimbus Roman No9 L" w:eastAsia="方正楷体_GBK" w:cs="Nimbus Roman No9 L"/>
          <w:b w:val="0"/>
          <w:bCs/>
          <w:color w:val="auto"/>
          <w:sz w:val="32"/>
          <w:szCs w:val="32"/>
        </w:rPr>
        <w:t>建设“四好农村路”，构建畅通的农村公路网</w:t>
      </w:r>
      <w:bookmarkEnd w:id="55"/>
    </w:p>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6.6.1县道、乡道路网规划</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“十四五”时期，规划平远县境内县、乡道总里程为549.9公里，总投资约14.22亿元。</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按道路行政等级划分：县道341.16公里，乡道208.74公里。</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县道道路等级划分有：二级路341.163公里，三级路106.118公里，四级路102.718公里。具体规划及投资如表6-10所示。</w:t>
      </w:r>
    </w:p>
    <w:p>
      <w:pPr>
        <w:pStyle w:val="27"/>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表6-10  县乡道路网网规划成果表</w:t>
      </w:r>
    </w:p>
    <w:tbl>
      <w:tblPr>
        <w:tblStyle w:val="22"/>
        <w:tblW w:w="8388"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18"/>
        <w:gridCol w:w="1111"/>
        <w:gridCol w:w="1581"/>
        <w:gridCol w:w="1600"/>
        <w:gridCol w:w="1423"/>
        <w:gridCol w:w="155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vMerge w:val="restart"/>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rFonts w:hint="eastAsia"/>
                <w:color w:val="auto"/>
              </w:rPr>
            </w:pPr>
            <w:r>
              <w:rPr>
                <w:rFonts w:hint="eastAsia"/>
                <w:color w:val="auto"/>
              </w:rPr>
              <w:t>行政</w:t>
            </w:r>
          </w:p>
          <w:p>
            <w:pPr>
              <w:pStyle w:val="35"/>
              <w:rPr>
                <w:color w:val="auto"/>
              </w:rPr>
            </w:pPr>
            <w:r>
              <w:rPr>
                <w:rFonts w:hint="eastAsia"/>
                <w:color w:val="auto"/>
              </w:rPr>
              <w:t>等级</w:t>
            </w:r>
          </w:p>
        </w:tc>
        <w:tc>
          <w:tcPr>
            <w:tcW w:w="1111" w:type="dxa"/>
            <w:vMerge w:val="restart"/>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rFonts w:hint="eastAsia"/>
                <w:color w:val="auto"/>
              </w:rPr>
            </w:pPr>
            <w:r>
              <w:rPr>
                <w:rFonts w:hint="eastAsia"/>
                <w:color w:val="auto"/>
              </w:rPr>
              <w:t>技术</w:t>
            </w:r>
          </w:p>
          <w:p>
            <w:pPr>
              <w:pStyle w:val="35"/>
              <w:rPr>
                <w:color w:val="auto"/>
              </w:rPr>
            </w:pPr>
            <w:r>
              <w:rPr>
                <w:rFonts w:hint="eastAsia"/>
                <w:color w:val="auto"/>
              </w:rPr>
              <w:t>等级</w:t>
            </w:r>
          </w:p>
        </w:tc>
        <w:tc>
          <w:tcPr>
            <w:tcW w:w="1581" w:type="dxa"/>
            <w:vMerge w:val="restart"/>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color w:val="auto"/>
              </w:rPr>
            </w:pPr>
            <w:r>
              <w:rPr>
                <w:rFonts w:hint="eastAsia"/>
                <w:color w:val="auto"/>
              </w:rPr>
              <w:t>里程</w:t>
            </w:r>
          </w:p>
        </w:tc>
        <w:tc>
          <w:tcPr>
            <w:tcW w:w="1600" w:type="dxa"/>
            <w:vMerge w:val="restart"/>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color w:val="auto"/>
              </w:rPr>
            </w:pPr>
            <w:r>
              <w:rPr>
                <w:rFonts w:hint="eastAsia"/>
                <w:color w:val="auto"/>
              </w:rPr>
              <w:t>行政区域</w:t>
            </w:r>
          </w:p>
        </w:tc>
        <w:tc>
          <w:tcPr>
            <w:tcW w:w="1423" w:type="dxa"/>
            <w:vMerge w:val="restart"/>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rFonts w:hint="eastAsia"/>
                <w:color w:val="auto"/>
              </w:rPr>
            </w:pPr>
            <w:r>
              <w:rPr>
                <w:rFonts w:hint="eastAsia"/>
                <w:color w:val="auto"/>
              </w:rPr>
              <w:t>计划投资</w:t>
            </w:r>
          </w:p>
          <w:p>
            <w:pPr>
              <w:pStyle w:val="35"/>
              <w:rPr>
                <w:color w:val="auto"/>
              </w:rPr>
            </w:pPr>
            <w:r>
              <w:rPr>
                <w:rFonts w:hint="eastAsia"/>
                <w:color w:val="auto"/>
              </w:rPr>
              <w:t>（万元）</w:t>
            </w:r>
          </w:p>
        </w:tc>
        <w:tc>
          <w:tcPr>
            <w:tcW w:w="1555" w:type="dxa"/>
            <w:vMerge w:val="restart"/>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color w:val="auto"/>
              </w:rPr>
            </w:pPr>
            <w:r>
              <w:rPr>
                <w:rFonts w:hint="eastAsia"/>
                <w:color w:val="auto"/>
              </w:rPr>
              <w:t>实施期限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DEEBF6" w:themeFill="accent1" w:themeFillTint="32"/>
          </w:tcPr>
          <w:p>
            <w:pPr>
              <w:pStyle w:val="35"/>
              <w:rPr>
                <w:color w:val="auto"/>
              </w:rPr>
            </w:pPr>
          </w:p>
        </w:tc>
        <w:tc>
          <w:tcPr>
            <w:tcW w:w="1111" w:type="dxa"/>
            <w:vMerge w:val="continue"/>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color w:val="auto"/>
              </w:rPr>
            </w:pPr>
          </w:p>
        </w:tc>
        <w:tc>
          <w:tcPr>
            <w:tcW w:w="1581" w:type="dxa"/>
            <w:vMerge w:val="continue"/>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color w:val="auto"/>
              </w:rPr>
            </w:pPr>
          </w:p>
        </w:tc>
        <w:tc>
          <w:tcPr>
            <w:tcW w:w="1600" w:type="dxa"/>
            <w:vMerge w:val="continue"/>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shd w:val="clear" w:color="auto" w:fill="DEEBF6" w:themeFill="accent1" w:themeFillTint="32"/>
            <w:vAlign w:val="center"/>
          </w:tcPr>
          <w:p>
            <w:pPr>
              <w:pStyle w:val="35"/>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46.604</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仁居镇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18198</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8.520</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15.221</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70.345</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22.731</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长田镇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5881</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0</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0</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22.731</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38.356</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石正镇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11612</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2.407</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4.122</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44.885</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2.635</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河头镇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2311</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4.176</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2.122</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8.933</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35.673</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大柘镇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29107</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31.140</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45.701</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112.514</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15.842</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热柘镇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8416</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11.277</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5.412</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32.531</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20.100</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中行镇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7368</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5.995</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2.384</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28.479</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22.732</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差干镇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15539</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20.833</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16.501</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60.066</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19.473</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上举镇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8406</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9.509</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3.511</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32.493</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48.965</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泗水镇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14692</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4.115</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3.712</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56.792</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45.892</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八尺镇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12007</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0</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0.522</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46.414</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县道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二级路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22.160</w:t>
            </w:r>
          </w:p>
        </w:tc>
        <w:tc>
          <w:tcPr>
            <w:tcW w:w="1600"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东石镇</w:t>
            </w:r>
          </w:p>
        </w:tc>
        <w:tc>
          <w:tcPr>
            <w:tcW w:w="1423"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8748</w:t>
            </w:r>
          </w:p>
        </w:tc>
        <w:tc>
          <w:tcPr>
            <w:tcW w:w="1555" w:type="dxa"/>
            <w:vMerge w:val="restart"/>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2021</w:t>
            </w:r>
            <w:r>
              <w:rPr>
                <w:rFonts w:hint="eastAsia" w:ascii="Nimbus Roman No9 L" w:hAnsi="Nimbus Roman No9 L" w:eastAsia="方正仿宋_GBK" w:cs="Nimbus Roman No9 L"/>
                <w:color w:val="auto"/>
                <w:lang w:eastAsia="zh-CN"/>
              </w:rPr>
              <w:t>—</w:t>
            </w:r>
            <w:r>
              <w:rPr>
                <w:rFonts w:hint="default" w:ascii="Nimbus Roman No9 L" w:hAnsi="Nimbus Roman No9 L" w:eastAsia="方正仿宋_GBK" w:cs="Nimbus Roman No9 L"/>
                <w:color w:val="auto"/>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乡道</w:t>
            </w: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三级路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8.146</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四级路</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3.510</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jc w:val="center"/>
        </w:trPr>
        <w:tc>
          <w:tcPr>
            <w:tcW w:w="1118" w:type="dxa"/>
            <w:tcBorders>
              <w:top w:val="single" w:color="000000" w:sz="8" w:space="0"/>
              <w:left w:val="single" w:color="000000" w:sz="8" w:space="0"/>
              <w:bottom w:val="single" w:color="000000" w:sz="8" w:space="0"/>
              <w:right w:val="single" w:color="000000" w:sz="8" w:space="0"/>
            </w:tcBorders>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11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合计</w:t>
            </w:r>
          </w:p>
        </w:tc>
        <w:tc>
          <w:tcPr>
            <w:tcW w:w="1581" w:type="dxa"/>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33.816</w:t>
            </w:r>
          </w:p>
        </w:tc>
        <w:tc>
          <w:tcPr>
            <w:tcW w:w="1600"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423"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c>
          <w:tcPr>
            <w:tcW w:w="1555" w:type="dxa"/>
            <w:vMerge w:val="continue"/>
            <w:tcBorders>
              <w:top w:val="single" w:color="000000" w:sz="8" w:space="0"/>
              <w:left w:val="single" w:color="000000" w:sz="8" w:space="0"/>
              <w:bottom w:val="single" w:color="000000" w:sz="8" w:space="0"/>
              <w:right w:val="single" w:color="000000" w:sz="8" w:space="0"/>
            </w:tcBorders>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p>
        </w:tc>
      </w:tr>
    </w:tbl>
    <w:p>
      <w:pPr>
        <w:pStyle w:val="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6.6.2村道路网规划</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“十四五”时期，平远县通村公路总里程为129.984公里。</w:t>
      </w:r>
      <w:r>
        <w:rPr>
          <w:rFonts w:hint="eastAsia" w:ascii="Nimbus Roman No9 L" w:hAnsi="Nimbus Roman No9 L" w:eastAsia="方正仿宋简体" w:cs="Nimbus Roman No9 L"/>
          <w:b w:val="0"/>
          <w:bCs w:val="0"/>
          <w:color w:val="auto"/>
          <w:spacing w:val="-11"/>
          <w:kern w:val="2"/>
          <w:sz w:val="32"/>
          <w:szCs w:val="32"/>
          <w:lang w:val="en-US" w:eastAsia="zh-CN" w:bidi="ar-SA"/>
        </w:rPr>
        <w:t>按道路技术等级划分有：三级路27.266公里，四级路102.718公里。</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56" w:name="_Toc13494"/>
      <w:r>
        <w:rPr>
          <w:rFonts w:hint="eastAsia" w:ascii="Nimbus Roman No9 L" w:hAnsi="Nimbus Roman No9 L" w:eastAsia="方正楷体_GBK" w:cs="Nimbus Roman No9 L"/>
          <w:b w:val="0"/>
          <w:bCs/>
          <w:color w:val="auto"/>
          <w:sz w:val="32"/>
          <w:szCs w:val="32"/>
          <w:lang w:val="en-US" w:eastAsia="zh-CN"/>
        </w:rPr>
        <w:t>6.7推动干线公路与城市道路融合发展</w:t>
      </w:r>
      <w:bookmarkEnd w:id="56"/>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结合城市总体规划和综合交通体系规划，综合考虑路网结构、交通方式、运输需求和建设条件等，统筹干线公路与城市道路规划建设，促进形成干线公路、城市快速路、主次干路和支路匹配合理、布局均衡的路网体系。根据路网布局、需求特征、建设条件等，积极采取改扩建既有路段、建设快速联络线、新建平行或绕行路段等方式解决拥堵问题，推动干线公路与城市道路融合发展，实现城市内外交通顺畅衔接。协调推进</w:t>
      </w:r>
      <w:r>
        <w:rPr>
          <w:rFonts w:hint="default" w:ascii="Nimbus Roman No9 L" w:hAnsi="Nimbus Roman No9 L" w:eastAsia="方正仿宋简体" w:cs="Nimbus Roman No9 L"/>
          <w:b w:val="0"/>
          <w:bCs w:val="0"/>
          <w:color w:val="auto"/>
          <w:kern w:val="2"/>
          <w:sz w:val="32"/>
          <w:szCs w:val="32"/>
          <w:lang w:val="en-US" w:eastAsia="zh-CN" w:bidi="ar-SA"/>
        </w:rPr>
        <w:t>府前大道、</w:t>
      </w:r>
      <w:r>
        <w:rPr>
          <w:rFonts w:hint="eastAsia" w:ascii="Nimbus Roman No9 L" w:hAnsi="Nimbus Roman No9 L" w:eastAsia="方正仿宋简体" w:cs="Nimbus Roman No9 L"/>
          <w:b w:val="0"/>
          <w:bCs w:val="0"/>
          <w:color w:val="auto"/>
          <w:kern w:val="2"/>
          <w:sz w:val="32"/>
          <w:szCs w:val="32"/>
          <w:lang w:val="en-US" w:eastAsia="zh-CN" w:bidi="ar-SA"/>
        </w:rPr>
        <w:t>进站大道、</w:t>
      </w:r>
      <w:r>
        <w:rPr>
          <w:rFonts w:hint="default" w:ascii="Nimbus Roman No9 L" w:hAnsi="Nimbus Roman No9 L" w:eastAsia="方正仿宋简体" w:cs="Nimbus Roman No9 L"/>
          <w:b w:val="0"/>
          <w:bCs w:val="0"/>
          <w:color w:val="auto"/>
          <w:kern w:val="2"/>
          <w:sz w:val="32"/>
          <w:szCs w:val="32"/>
          <w:lang w:val="en-US" w:eastAsia="zh-CN" w:bidi="ar-SA"/>
        </w:rPr>
        <w:t>站前大道</w:t>
      </w:r>
      <w:r>
        <w:rPr>
          <w:rFonts w:hint="eastAsia" w:ascii="Nimbus Roman No9 L" w:hAnsi="Nimbus Roman No9 L" w:eastAsia="方正仿宋简体" w:cs="Nimbus Roman No9 L"/>
          <w:b w:val="0"/>
          <w:bCs w:val="0"/>
          <w:color w:val="auto"/>
          <w:kern w:val="2"/>
          <w:sz w:val="32"/>
          <w:szCs w:val="32"/>
          <w:lang w:val="en-US" w:eastAsia="zh-CN" w:bidi="ar-SA"/>
        </w:rPr>
        <w:t>、</w:t>
      </w:r>
      <w:r>
        <w:rPr>
          <w:rFonts w:hint="default" w:ascii="Nimbus Roman No9 L" w:hAnsi="Nimbus Roman No9 L" w:eastAsia="方正仿宋简体" w:cs="Nimbus Roman No9 L"/>
          <w:b w:val="0"/>
          <w:bCs w:val="0"/>
          <w:color w:val="auto"/>
          <w:kern w:val="2"/>
          <w:sz w:val="32"/>
          <w:szCs w:val="32"/>
          <w:lang w:val="en-US" w:eastAsia="zh-CN" w:bidi="ar-SA"/>
        </w:rPr>
        <w:t>子青路、梅青路、河岭路、</w:t>
      </w:r>
      <w:r>
        <w:rPr>
          <w:rFonts w:hint="eastAsia" w:ascii="Nimbus Roman No9 L" w:hAnsi="Nimbus Roman No9 L" w:eastAsia="方正仿宋简体" w:cs="Nimbus Roman No9 L"/>
          <w:b w:val="0"/>
          <w:bCs w:val="0"/>
          <w:color w:val="auto"/>
          <w:kern w:val="2"/>
          <w:sz w:val="32"/>
          <w:szCs w:val="32"/>
          <w:lang w:val="en-US" w:eastAsia="zh-CN" w:bidi="ar-SA"/>
        </w:rPr>
        <w:t>人民医院“生命通道”、鸿禧中心城侧、城南小学侧等市政道路建设。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aps w:val="0"/>
          <w:color w:val="auto"/>
          <w:spacing w:val="0"/>
          <w:sz w:val="24"/>
          <w:szCs w:val="24"/>
          <w:shd w:val="clear" w:fill="FFFFFF"/>
        </w:rPr>
      </w:pPr>
      <w:r>
        <w:rPr>
          <w:color w:val="auto"/>
        </w:rPr>
        <w:drawing>
          <wp:inline distT="0" distB="0" distL="114300" distR="114300">
            <wp:extent cx="5481320" cy="3863975"/>
            <wp:effectExtent l="0" t="0" r="508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481320" cy="3863975"/>
                    </a:xfrm>
                    <a:prstGeom prst="rect">
                      <a:avLst/>
                    </a:prstGeom>
                    <a:noFill/>
                    <a:ln>
                      <a:noFill/>
                    </a:ln>
                  </pic:spPr>
                </pic:pic>
              </a:graphicData>
            </a:graphic>
          </wp:inline>
        </w:drawing>
      </w:r>
    </w:p>
    <w:p>
      <w:pPr>
        <w:pStyle w:val="4"/>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Nimbus Roman No9 L" w:hAnsi="Nimbus Roman No9 L" w:eastAsia="方正黑体_GBK" w:cs="Nimbus Roman No9 L"/>
          <w:b w:val="0"/>
          <w:bCs w:val="0"/>
          <w:color w:val="000000" w:themeColor="text1"/>
          <w:kern w:val="2"/>
          <w:sz w:val="32"/>
          <w:szCs w:val="32"/>
          <w:lang w:val="en-US" w:eastAsia="zh-CN" w:bidi="ar-SA"/>
          <w14:textFill>
            <w14:solidFill>
              <w14:schemeClr w14:val="tx1"/>
            </w14:solidFill>
          </w14:textFill>
        </w:rPr>
      </w:pPr>
      <w:bookmarkStart w:id="57" w:name="_Toc4113"/>
      <w:r>
        <w:rPr>
          <w:rFonts w:hint="default" w:ascii="Nimbus Roman No9 L" w:hAnsi="Nimbus Roman No9 L" w:eastAsia="方正黑体_GBK" w:cs="Nimbus Roman No9 L"/>
          <w:b w:val="0"/>
          <w:bCs w:val="0"/>
          <w:color w:val="000000" w:themeColor="text1"/>
          <w:kern w:val="2"/>
          <w:sz w:val="32"/>
          <w:szCs w:val="32"/>
          <w:lang w:val="en-US" w:eastAsia="zh-CN" w:bidi="ar-SA"/>
          <w14:textFill>
            <w14:solidFill>
              <w14:schemeClr w14:val="tx1"/>
            </w14:solidFill>
          </w14:textFill>
        </w:rPr>
        <w:t>图6-4 城市道路规划布局图</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r>
        <w:rPr>
          <w:rFonts w:hint="eastAsia" w:ascii="Nimbus Roman No9 L" w:hAnsi="Nimbus Roman No9 L" w:eastAsia="方正楷体_GBK" w:cs="Nimbus Roman No9 L"/>
          <w:b w:val="0"/>
          <w:bCs/>
          <w:color w:val="auto"/>
          <w:sz w:val="32"/>
          <w:szCs w:val="32"/>
          <w:lang w:val="en-US" w:eastAsia="zh-CN"/>
        </w:rPr>
        <w:t>6.8利用苏区和旅游资源，创建旅游示范公路</w:t>
      </w:r>
      <w:bookmarkEnd w:id="57"/>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“十四五”时期，结合县内现有旅游公路，规划平远县旅游景区公路工程形成“一环一纵三联络”的格局，“十四五”新建旅游公路总里程为33.308公里，总投资约27600万元。</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按道路等级划分有：一级公路1.0公里，投资5000万元；三级路32.308公里，投资22600万元。</w:t>
      </w:r>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具体指标如表6-12所示。</w:t>
      </w:r>
    </w:p>
    <w:p>
      <w:pPr>
        <w:pStyle w:val="27"/>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表6-12  平远县旅游景区公路路网规划成果表</w:t>
      </w:r>
    </w:p>
    <w:tbl>
      <w:tblPr>
        <w:tblStyle w:val="22"/>
        <w:tblW w:w="9465"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955"/>
        <w:gridCol w:w="1124"/>
        <w:gridCol w:w="1308"/>
        <w:gridCol w:w="1304"/>
        <w:gridCol w:w="1350"/>
        <w:gridCol w:w="14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atLeast"/>
          <w:jc w:val="center"/>
        </w:trPr>
        <w:tc>
          <w:tcPr>
            <w:tcW w:w="1956" w:type="dxa"/>
            <w:shd w:val="clear" w:color="auto" w:fill="DEEBF6" w:themeFill="accent1" w:themeFillTint="32"/>
            <w:vAlign w:val="center"/>
          </w:tcPr>
          <w:p>
            <w:pPr>
              <w:pStyle w:val="35"/>
              <w:bidi w:val="0"/>
              <w:rPr>
                <w:color w:val="auto"/>
                <w:sz w:val="24"/>
                <w:szCs w:val="24"/>
              </w:rPr>
            </w:pPr>
            <w:r>
              <w:rPr>
                <w:rFonts w:hint="eastAsia"/>
                <w:color w:val="auto"/>
                <w:sz w:val="24"/>
                <w:szCs w:val="24"/>
              </w:rPr>
              <w:t>项目</w:t>
            </w:r>
          </w:p>
        </w:tc>
        <w:tc>
          <w:tcPr>
            <w:tcW w:w="955" w:type="dxa"/>
            <w:shd w:val="clear" w:color="auto" w:fill="DEEBF6" w:themeFill="accent1" w:themeFillTint="32"/>
            <w:vAlign w:val="center"/>
          </w:tcPr>
          <w:p>
            <w:pPr>
              <w:pStyle w:val="35"/>
              <w:bidi w:val="0"/>
              <w:rPr>
                <w:rFonts w:hint="eastAsia"/>
                <w:color w:val="auto"/>
                <w:sz w:val="24"/>
                <w:szCs w:val="24"/>
              </w:rPr>
            </w:pPr>
            <w:r>
              <w:rPr>
                <w:rFonts w:hint="eastAsia"/>
                <w:color w:val="auto"/>
                <w:sz w:val="24"/>
                <w:szCs w:val="24"/>
              </w:rPr>
              <w:t>所属</w:t>
            </w:r>
          </w:p>
          <w:p>
            <w:pPr>
              <w:pStyle w:val="35"/>
              <w:bidi w:val="0"/>
              <w:rPr>
                <w:color w:val="auto"/>
                <w:sz w:val="24"/>
                <w:szCs w:val="24"/>
              </w:rPr>
            </w:pPr>
            <w:r>
              <w:rPr>
                <w:rFonts w:hint="eastAsia"/>
                <w:color w:val="auto"/>
                <w:sz w:val="24"/>
                <w:szCs w:val="24"/>
              </w:rPr>
              <w:t>网络</w:t>
            </w:r>
          </w:p>
        </w:tc>
        <w:tc>
          <w:tcPr>
            <w:tcW w:w="1124" w:type="dxa"/>
            <w:shd w:val="clear" w:color="auto" w:fill="DEEBF6" w:themeFill="accent1" w:themeFillTint="32"/>
            <w:vAlign w:val="center"/>
          </w:tcPr>
          <w:p>
            <w:pPr>
              <w:pStyle w:val="35"/>
              <w:bidi w:val="0"/>
              <w:rPr>
                <w:rFonts w:hint="eastAsia"/>
                <w:color w:val="auto"/>
                <w:sz w:val="24"/>
                <w:szCs w:val="24"/>
              </w:rPr>
            </w:pPr>
            <w:r>
              <w:rPr>
                <w:rFonts w:hint="eastAsia"/>
                <w:color w:val="auto"/>
                <w:sz w:val="24"/>
                <w:szCs w:val="24"/>
              </w:rPr>
              <w:t>技术</w:t>
            </w:r>
          </w:p>
          <w:p>
            <w:pPr>
              <w:pStyle w:val="35"/>
              <w:bidi w:val="0"/>
              <w:rPr>
                <w:color w:val="auto"/>
                <w:sz w:val="24"/>
                <w:szCs w:val="24"/>
              </w:rPr>
            </w:pPr>
            <w:r>
              <w:rPr>
                <w:rFonts w:hint="eastAsia"/>
                <w:color w:val="auto"/>
                <w:sz w:val="24"/>
                <w:szCs w:val="24"/>
              </w:rPr>
              <w:t>等级</w:t>
            </w:r>
          </w:p>
        </w:tc>
        <w:tc>
          <w:tcPr>
            <w:tcW w:w="1308" w:type="dxa"/>
            <w:shd w:val="clear" w:color="auto" w:fill="DEEBF6" w:themeFill="accent1" w:themeFillTint="32"/>
            <w:vAlign w:val="center"/>
          </w:tcPr>
          <w:p>
            <w:pPr>
              <w:pStyle w:val="35"/>
              <w:bidi w:val="0"/>
              <w:rPr>
                <w:rFonts w:hint="default" w:ascii="Nimbus Roman No9 L" w:hAnsi="Nimbus Roman No9 L" w:cs="Nimbus Roman No9 L"/>
                <w:color w:val="auto"/>
                <w:sz w:val="24"/>
                <w:szCs w:val="24"/>
                <w:lang w:eastAsia="zh-CN"/>
              </w:rPr>
            </w:pPr>
            <w:r>
              <w:rPr>
                <w:rFonts w:hint="default" w:ascii="Nimbus Roman No9 L" w:hAnsi="Nimbus Roman No9 L" w:cs="Nimbus Roman No9 L"/>
                <w:color w:val="auto"/>
                <w:sz w:val="24"/>
                <w:szCs w:val="24"/>
              </w:rPr>
              <w:t>里程</w:t>
            </w:r>
            <w:r>
              <w:rPr>
                <w:rFonts w:hint="default" w:ascii="Nimbus Roman No9 L" w:hAnsi="Nimbus Roman No9 L" w:cs="Nimbus Roman No9 L"/>
                <w:color w:val="auto"/>
                <w:sz w:val="24"/>
                <w:szCs w:val="24"/>
                <w:lang w:eastAsia="zh-CN"/>
              </w:rPr>
              <w:t>（</w:t>
            </w:r>
            <w:r>
              <w:rPr>
                <w:rFonts w:hint="default" w:ascii="Nimbus Roman No9 L" w:hAnsi="Nimbus Roman No9 L" w:cs="Nimbus Roman No9 L"/>
                <w:color w:val="auto"/>
                <w:sz w:val="24"/>
                <w:szCs w:val="24"/>
                <w:lang w:val="en-US" w:eastAsia="zh-CN"/>
              </w:rPr>
              <w:t>km</w:t>
            </w:r>
            <w:r>
              <w:rPr>
                <w:rFonts w:hint="default" w:ascii="Nimbus Roman No9 L" w:hAnsi="Nimbus Roman No9 L" w:cs="Nimbus Roman No9 L"/>
                <w:color w:val="auto"/>
                <w:sz w:val="24"/>
                <w:szCs w:val="24"/>
                <w:lang w:eastAsia="zh-CN"/>
              </w:rPr>
              <w:t>）</w:t>
            </w:r>
          </w:p>
        </w:tc>
        <w:tc>
          <w:tcPr>
            <w:tcW w:w="1304" w:type="dxa"/>
            <w:shd w:val="clear" w:color="auto" w:fill="DEEBF6" w:themeFill="accent1" w:themeFillTint="32"/>
            <w:vAlign w:val="center"/>
          </w:tcPr>
          <w:p>
            <w:pPr>
              <w:pStyle w:val="35"/>
              <w:bidi w:val="0"/>
              <w:rPr>
                <w:rFonts w:hint="default" w:ascii="Nimbus Roman No9 L" w:hAnsi="Nimbus Roman No9 L" w:cs="Nimbus Roman No9 L"/>
                <w:color w:val="auto"/>
                <w:sz w:val="24"/>
                <w:szCs w:val="24"/>
              </w:rPr>
            </w:pPr>
            <w:r>
              <w:rPr>
                <w:rFonts w:hint="default" w:ascii="Nimbus Roman No9 L" w:hAnsi="Nimbus Roman No9 L" w:cs="Nimbus Roman No9 L"/>
                <w:color w:val="auto"/>
                <w:sz w:val="24"/>
                <w:szCs w:val="24"/>
              </w:rPr>
              <w:t>计划投资</w:t>
            </w:r>
          </w:p>
          <w:p>
            <w:pPr>
              <w:pStyle w:val="35"/>
              <w:bidi w:val="0"/>
              <w:rPr>
                <w:rFonts w:hint="default" w:ascii="Nimbus Roman No9 L" w:hAnsi="Nimbus Roman No9 L" w:eastAsia="楷体" w:cs="Nimbus Roman No9 L"/>
                <w:color w:val="auto"/>
                <w:sz w:val="24"/>
                <w:szCs w:val="24"/>
                <w:lang w:val="en-US" w:eastAsia="zh-CN"/>
              </w:rPr>
            </w:pPr>
            <w:r>
              <w:rPr>
                <w:rFonts w:hint="default" w:ascii="Nimbus Roman No9 L" w:hAnsi="Nimbus Roman No9 L" w:cs="Nimbus Roman No9 L"/>
                <w:color w:val="auto"/>
                <w:sz w:val="24"/>
                <w:szCs w:val="24"/>
                <w:lang w:val="en-US" w:eastAsia="zh-CN"/>
              </w:rPr>
              <w:t>(万元）</w:t>
            </w:r>
          </w:p>
        </w:tc>
        <w:tc>
          <w:tcPr>
            <w:tcW w:w="1350" w:type="dxa"/>
            <w:shd w:val="clear" w:color="auto" w:fill="DEEBF6" w:themeFill="accent1" w:themeFillTint="32"/>
            <w:vAlign w:val="center"/>
          </w:tcPr>
          <w:p>
            <w:pPr>
              <w:pStyle w:val="35"/>
              <w:bidi w:val="0"/>
              <w:rPr>
                <w:color w:val="auto"/>
                <w:sz w:val="24"/>
                <w:szCs w:val="24"/>
              </w:rPr>
            </w:pPr>
            <w:r>
              <w:rPr>
                <w:rFonts w:hint="eastAsia"/>
                <w:color w:val="auto"/>
                <w:sz w:val="24"/>
                <w:szCs w:val="24"/>
              </w:rPr>
              <w:t>沿线旅游主题</w:t>
            </w:r>
          </w:p>
        </w:tc>
        <w:tc>
          <w:tcPr>
            <w:tcW w:w="1468" w:type="dxa"/>
            <w:shd w:val="clear" w:color="auto" w:fill="DEEBF6" w:themeFill="accent1" w:themeFillTint="32"/>
            <w:vAlign w:val="center"/>
          </w:tcPr>
          <w:p>
            <w:pPr>
              <w:pStyle w:val="35"/>
              <w:bidi w:val="0"/>
              <w:rPr>
                <w:color w:val="auto"/>
                <w:sz w:val="24"/>
                <w:szCs w:val="24"/>
              </w:rPr>
            </w:pPr>
            <w:r>
              <w:rPr>
                <w:rFonts w:hint="eastAsia"/>
                <w:color w:val="auto"/>
                <w:sz w:val="24"/>
                <w:szCs w:val="24"/>
              </w:rPr>
              <w:t>实施期限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atLeast"/>
          <w:jc w:val="center"/>
        </w:trPr>
        <w:tc>
          <w:tcPr>
            <w:tcW w:w="1956"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环北路与旅游</w:t>
            </w:r>
          </w:p>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公路连接线</w:t>
            </w:r>
          </w:p>
        </w:tc>
        <w:tc>
          <w:tcPr>
            <w:tcW w:w="955"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联络一</w:t>
            </w:r>
          </w:p>
        </w:tc>
        <w:tc>
          <w:tcPr>
            <w:tcW w:w="1124"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一级路</w:t>
            </w:r>
          </w:p>
        </w:tc>
        <w:tc>
          <w:tcPr>
            <w:tcW w:w="1308"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1.0</w:t>
            </w:r>
          </w:p>
        </w:tc>
        <w:tc>
          <w:tcPr>
            <w:tcW w:w="1304"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5000</w:t>
            </w:r>
          </w:p>
        </w:tc>
        <w:tc>
          <w:tcPr>
            <w:tcW w:w="1350"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乡村风貌</w:t>
            </w:r>
          </w:p>
        </w:tc>
        <w:tc>
          <w:tcPr>
            <w:tcW w:w="1468"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850" w:hRule="atLeast"/>
          <w:jc w:val="center"/>
        </w:trPr>
        <w:tc>
          <w:tcPr>
            <w:tcW w:w="1956"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通产业园区、旅游景区公路工程</w:t>
            </w:r>
          </w:p>
        </w:tc>
        <w:tc>
          <w:tcPr>
            <w:tcW w:w="955"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一环</w:t>
            </w:r>
          </w:p>
        </w:tc>
        <w:tc>
          <w:tcPr>
            <w:tcW w:w="1124"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三级路</w:t>
            </w:r>
          </w:p>
        </w:tc>
        <w:tc>
          <w:tcPr>
            <w:tcW w:w="1308"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32.308</w:t>
            </w:r>
          </w:p>
        </w:tc>
        <w:tc>
          <w:tcPr>
            <w:tcW w:w="1304"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22600</w:t>
            </w:r>
          </w:p>
        </w:tc>
        <w:tc>
          <w:tcPr>
            <w:tcW w:w="1350"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红色之旅、文化遗址</w:t>
            </w:r>
          </w:p>
        </w:tc>
        <w:tc>
          <w:tcPr>
            <w:tcW w:w="1468" w:type="dxa"/>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2021</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r>
    </w:tbl>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58" w:name="_Toc29952"/>
      <w:bookmarkStart w:id="59" w:name="_Toc16297"/>
      <w:r>
        <w:rPr>
          <w:rFonts w:hint="eastAsia" w:ascii="Nimbus Roman No9 L" w:hAnsi="Nimbus Roman No9 L" w:eastAsia="方正楷体_GBK" w:cs="Nimbus Roman No9 L"/>
          <w:b w:val="0"/>
          <w:bCs/>
          <w:color w:val="auto"/>
          <w:sz w:val="32"/>
          <w:szCs w:val="32"/>
          <w:lang w:val="en-US" w:eastAsia="zh-CN"/>
        </w:rPr>
        <w:t>6.9积极谋划推进航空设施建设</w:t>
      </w:r>
      <w:bookmarkEnd w:id="58"/>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根据《广东省通用机场布局规划（2020—2035）》，加快启动平远县通用机场建设前期工作，力争2026年前动工建设。加强与梅县机场、潮汕机场达成城市候机楼合作协议，力争2025年底前在平远汽车客运总站（或平远迎宾馆）建成平远候机楼，实现平远候机楼45分钟通达梅县机场、2小时通达潮汕机场。</w:t>
      </w:r>
      <w:bookmarkEnd w:id="59"/>
      <w:r>
        <w:rPr>
          <w:rFonts w:hint="eastAsia" w:ascii="Nimbus Roman No9 L" w:hAnsi="Nimbus Roman No9 L" w:eastAsia="方正仿宋简体" w:cs="Nimbus Roman No9 L"/>
          <w:b w:val="0"/>
          <w:bCs w:val="0"/>
          <w:color w:val="auto"/>
          <w:kern w:val="2"/>
          <w:sz w:val="32"/>
          <w:szCs w:val="32"/>
          <w:lang w:val="en-US" w:eastAsia="zh-CN" w:bidi="ar-SA"/>
        </w:rPr>
        <w:t>平远县“十四五”航空建设规划重点任务如表6-13所示。</w:t>
      </w:r>
    </w:p>
    <w:p>
      <w:pPr>
        <w:pStyle w:val="27"/>
        <w:pageBreakBefore w:val="0"/>
        <w:widowControl w:val="0"/>
        <w:kinsoku/>
        <w:wordWrap/>
        <w:overflowPunct/>
        <w:topLinePunct w:val="0"/>
        <w:autoSpaceDE/>
        <w:autoSpaceDN/>
        <w:bidi w:val="0"/>
        <w:adjustRightInd/>
        <w:snapToGrid/>
        <w:spacing w:before="0" w:beforeLines="0" w:line="560" w:lineRule="exact"/>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表6-13  航空设施重点建设项目表</w:t>
      </w:r>
    </w:p>
    <w:tbl>
      <w:tblPr>
        <w:tblStyle w:val="22"/>
        <w:tblW w:w="9225" w:type="dxa"/>
        <w:jc w:val="center"/>
        <w:tblInd w:w="0" w:type="dxa"/>
        <w:tblLayout w:type="fixed"/>
        <w:tblCellMar>
          <w:top w:w="0" w:type="dxa"/>
          <w:left w:w="108" w:type="dxa"/>
          <w:bottom w:w="0" w:type="dxa"/>
          <w:right w:w="108" w:type="dxa"/>
        </w:tblCellMar>
      </w:tblPr>
      <w:tblGrid>
        <w:gridCol w:w="720"/>
        <w:gridCol w:w="1447"/>
        <w:gridCol w:w="1004"/>
        <w:gridCol w:w="4077"/>
        <w:gridCol w:w="885"/>
        <w:gridCol w:w="1092"/>
      </w:tblGrid>
      <w:tr>
        <w:tblPrEx>
          <w:tblLayout w:type="fixed"/>
          <w:tblCellMar>
            <w:top w:w="0" w:type="dxa"/>
            <w:left w:w="108" w:type="dxa"/>
            <w:bottom w:w="0" w:type="dxa"/>
            <w:right w:w="108" w:type="dxa"/>
          </w:tblCellMar>
        </w:tblPrEx>
        <w:trPr>
          <w:trHeight w:val="735" w:hRule="atLeast"/>
          <w:jc w:val="center"/>
        </w:trPr>
        <w:tc>
          <w:tcPr>
            <w:tcW w:w="720"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序号</w:t>
            </w:r>
          </w:p>
        </w:tc>
        <w:tc>
          <w:tcPr>
            <w:tcW w:w="1447"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项目名称</w:t>
            </w:r>
          </w:p>
        </w:tc>
        <w:tc>
          <w:tcPr>
            <w:tcW w:w="1004"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rFonts w:hint="eastAsia"/>
                <w:color w:val="auto"/>
              </w:rPr>
            </w:pPr>
            <w:r>
              <w:rPr>
                <w:rFonts w:hint="eastAsia"/>
                <w:color w:val="auto"/>
              </w:rPr>
              <w:t>建设</w:t>
            </w:r>
          </w:p>
          <w:p>
            <w:pPr>
              <w:pStyle w:val="35"/>
              <w:rPr>
                <w:color w:val="auto"/>
              </w:rPr>
            </w:pPr>
            <w:r>
              <w:rPr>
                <w:rFonts w:hint="eastAsia"/>
                <w:color w:val="auto"/>
              </w:rPr>
              <w:t>阶段</w:t>
            </w:r>
          </w:p>
        </w:tc>
        <w:tc>
          <w:tcPr>
            <w:tcW w:w="4077"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建设内容及规模</w:t>
            </w:r>
          </w:p>
        </w:tc>
        <w:tc>
          <w:tcPr>
            <w:tcW w:w="885"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起止年限</w:t>
            </w:r>
          </w:p>
        </w:tc>
        <w:tc>
          <w:tcPr>
            <w:tcW w:w="1092"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pStyle w:val="35"/>
              <w:rPr>
                <w:color w:val="auto"/>
              </w:rPr>
            </w:pPr>
            <w:r>
              <w:rPr>
                <w:rFonts w:hint="eastAsia"/>
                <w:color w:val="auto"/>
              </w:rPr>
              <w:t>总投资（万元）</w:t>
            </w:r>
          </w:p>
        </w:tc>
      </w:tr>
      <w:tr>
        <w:tblPrEx>
          <w:tblLayout w:type="fixed"/>
          <w:tblCellMar>
            <w:top w:w="0" w:type="dxa"/>
            <w:left w:w="108" w:type="dxa"/>
            <w:bottom w:w="0" w:type="dxa"/>
            <w:right w:w="108" w:type="dxa"/>
          </w:tblCellMar>
        </w:tblPrEx>
        <w:trPr>
          <w:trHeight w:val="795" w:hRule="atLeast"/>
          <w:jc w:val="center"/>
        </w:trPr>
        <w:tc>
          <w:tcPr>
            <w:tcW w:w="720" w:type="dxa"/>
            <w:tcBorders>
              <w:top w:val="nil"/>
              <w:left w:val="single" w:color="auto" w:sz="4" w:space="0"/>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1</w:t>
            </w:r>
          </w:p>
        </w:tc>
        <w:tc>
          <w:tcPr>
            <w:tcW w:w="1447"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平远县通用</w:t>
            </w:r>
          </w:p>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机场</w:t>
            </w:r>
          </w:p>
        </w:tc>
        <w:tc>
          <w:tcPr>
            <w:tcW w:w="1004"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前期工作研究</w:t>
            </w:r>
          </w:p>
        </w:tc>
        <w:tc>
          <w:tcPr>
            <w:tcW w:w="4077"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A1级通用机场，飞行区建设等级3B。包括跑道及停机坪、机库、维修中心、航站楼、航管中心等配套设施。</w:t>
            </w:r>
          </w:p>
        </w:tc>
        <w:tc>
          <w:tcPr>
            <w:tcW w:w="885"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待定</w:t>
            </w:r>
          </w:p>
        </w:tc>
        <w:tc>
          <w:tcPr>
            <w:tcW w:w="1092" w:type="dxa"/>
            <w:tcBorders>
              <w:top w:val="nil"/>
              <w:left w:val="nil"/>
              <w:bottom w:val="single" w:color="auto" w:sz="4" w:space="0"/>
              <w:right w:val="single" w:color="auto" w:sz="4" w:space="0"/>
            </w:tcBorders>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Nimbus Roman No9 L" w:hAnsi="Nimbus Roman No9 L" w:eastAsia="方正仿宋_GBK" w:cs="Nimbus Roman No9 L"/>
                <w:color w:val="auto"/>
              </w:rPr>
            </w:pPr>
            <w:r>
              <w:rPr>
                <w:rFonts w:hint="default" w:ascii="Nimbus Roman No9 L" w:hAnsi="Nimbus Roman No9 L" w:eastAsia="方正仿宋_GBK" w:cs="Nimbus Roman No9 L"/>
                <w:color w:val="auto"/>
              </w:rPr>
              <w:t>42000</w:t>
            </w:r>
          </w:p>
        </w:tc>
      </w:tr>
    </w:tbl>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60" w:name="_Toc2145"/>
      <w:bookmarkStart w:id="61" w:name="_Toc4371"/>
      <w:r>
        <w:rPr>
          <w:rFonts w:hint="eastAsia" w:ascii="Nimbus Roman No9 L" w:hAnsi="Nimbus Roman No9 L" w:eastAsia="方正楷体_GBK" w:cs="Nimbus Roman No9 L"/>
          <w:b w:val="0"/>
          <w:bCs/>
          <w:color w:val="auto"/>
          <w:sz w:val="32"/>
          <w:szCs w:val="32"/>
          <w:lang w:val="en-US" w:eastAsia="zh-CN"/>
        </w:rPr>
        <w:t>6.10大力提升综合运输服务水平</w:t>
      </w:r>
      <w:bookmarkEnd w:id="60"/>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力争到2025年，平远县建成统一开放、竞争有序的综合运输服务市场体系，基本实现旅客运输一票到家、货物运输一单到底、公众出行一卡通行，公共信息一站解决、服务监督一号畅通、监测应急一体联动的发展格局，社会感知度和公众满意度显著增强，综合运输服务与移动互联网深度融合、与关联产业密切联动，有力支撑交通运输成为经济社会发展的先行官。</w:t>
      </w:r>
      <w:bookmarkEnd w:id="61"/>
      <w:r>
        <w:rPr>
          <w:rFonts w:hint="eastAsia" w:ascii="Nimbus Roman No9 L" w:hAnsi="Nimbus Roman No9 L" w:eastAsia="方正仿宋简体" w:cs="Nimbus Roman No9 L"/>
          <w:b w:val="0"/>
          <w:bCs w:val="0"/>
          <w:color w:val="auto"/>
          <w:kern w:val="2"/>
          <w:sz w:val="32"/>
          <w:szCs w:val="32"/>
          <w:lang w:val="en-US" w:eastAsia="zh-CN" w:bidi="ar-SA"/>
        </w:rPr>
        <w:t>加快构建公路、铁路、机场无缝对接，高效服务的综合交通枢纽。促进农村客运网络和城市公交网络的合理衔接和有效融合，探索农村客运组织模式，推进“互联网+运输服务”在农村客运中的应用。加快完成县级快递物流园区建设，建立县级电商物流快递分拨中心，升级改造镇综合服务站和村服务网点，构建覆盖县镇村三级农村物流网络。</w:t>
      </w:r>
    </w:p>
    <w:p>
      <w:pPr>
        <w:pStyle w:val="4"/>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62" w:name="_Toc21023"/>
      <w:bookmarkStart w:id="63" w:name="_Toc23666"/>
      <w:r>
        <w:rPr>
          <w:rFonts w:hint="eastAsia" w:ascii="Nimbus Roman No9 L" w:hAnsi="Nimbus Roman No9 L" w:eastAsia="方正楷体_GBK" w:cs="Nimbus Roman No9 L"/>
          <w:b w:val="0"/>
          <w:bCs/>
          <w:color w:val="auto"/>
          <w:sz w:val="32"/>
          <w:szCs w:val="32"/>
          <w:lang w:val="en-US" w:eastAsia="zh-CN"/>
        </w:rPr>
        <w:t>6.11利用科技手段，全面提升综合执法水平</w:t>
      </w:r>
      <w:bookmarkEnd w:id="62"/>
    </w:p>
    <w:p>
      <w:pPr>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十四五”时期，以推进交通运输综合执法治理体系和治理能力现代化建设为引领，在完成机构整合、队伍整合的基础上，着手在制度建设、能力建设、业务建设、智慧建设方面进行积极探索，全面提升对交通运输行业高质量发展的支撑保障能力。</w:t>
      </w:r>
    </w:p>
    <w:p>
      <w:pPr>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Nimbus Roman No9 L" w:hAnsi="Nimbus Roman No9 L" w:eastAsia="方正黑体_GBK" w:cs="Nimbus Roman No9 L"/>
          <w:b w:val="0"/>
          <w:bCs/>
          <w:color w:val="auto"/>
          <w:kern w:val="2"/>
          <w:sz w:val="32"/>
          <w:szCs w:val="21"/>
          <w:lang w:val="en-US" w:eastAsia="zh-CN" w:bidi="ar-SA"/>
        </w:rPr>
      </w:pPr>
      <w:r>
        <w:rPr>
          <w:rFonts w:hint="eastAsia" w:ascii="Nimbus Roman No9 L" w:hAnsi="Nimbus Roman No9 L" w:eastAsia="方正黑体_GBK" w:cs="Nimbus Roman No9 L"/>
          <w:b w:val="0"/>
          <w:bCs/>
          <w:color w:val="auto"/>
          <w:kern w:val="2"/>
          <w:sz w:val="32"/>
          <w:szCs w:val="21"/>
          <w:lang w:val="en-US" w:eastAsia="zh-CN" w:bidi="ar-SA"/>
        </w:rPr>
        <w:t>表6-14  科技治超重点建设项目表</w:t>
      </w:r>
    </w:p>
    <w:tbl>
      <w:tblPr>
        <w:tblStyle w:val="22"/>
        <w:tblW w:w="9570" w:type="dxa"/>
        <w:tblInd w:w="0" w:type="dxa"/>
        <w:tblLayout w:type="fixed"/>
        <w:tblCellMar>
          <w:top w:w="0" w:type="dxa"/>
          <w:left w:w="108" w:type="dxa"/>
          <w:bottom w:w="0" w:type="dxa"/>
          <w:right w:w="108" w:type="dxa"/>
        </w:tblCellMar>
      </w:tblPr>
      <w:tblGrid>
        <w:gridCol w:w="698"/>
        <w:gridCol w:w="1769"/>
        <w:gridCol w:w="870"/>
        <w:gridCol w:w="3585"/>
        <w:gridCol w:w="1344"/>
        <w:gridCol w:w="1304"/>
      </w:tblGrid>
      <w:tr>
        <w:tblPrEx>
          <w:tblLayout w:type="fixed"/>
          <w:tblCellMar>
            <w:top w:w="0" w:type="dxa"/>
            <w:left w:w="108" w:type="dxa"/>
            <w:bottom w:w="0" w:type="dxa"/>
            <w:right w:w="108" w:type="dxa"/>
          </w:tblCellMar>
        </w:tblPrEx>
        <w:trPr>
          <w:trHeight w:val="920" w:hRule="atLeast"/>
        </w:trPr>
        <w:tc>
          <w:tcPr>
            <w:tcW w:w="698" w:type="dxa"/>
            <w:tcBorders>
              <w:top w:val="single" w:color="auto" w:sz="4" w:space="0"/>
              <w:left w:val="single" w:color="auto" w:sz="4" w:space="0"/>
              <w:bottom w:val="single" w:color="auto" w:sz="4" w:space="0"/>
              <w:right w:val="single" w:color="auto" w:sz="4" w:space="0"/>
            </w:tcBorders>
            <w:shd w:val="clear" w:color="000000" w:fill="DEEBF6" w:themeFill="accent1" w:themeFillTint="32"/>
            <w:vAlign w:val="center"/>
          </w:tcPr>
          <w:p>
            <w:pPr>
              <w:widowControl/>
              <w:spacing w:line="240" w:lineRule="auto"/>
              <w:ind w:firstLine="0" w:firstLineChars="0"/>
              <w:jc w:val="center"/>
              <w:rPr>
                <w:rFonts w:ascii="楷体" w:hAnsi="楷体" w:eastAsia="楷体" w:cs="宋体"/>
                <w:color w:val="auto"/>
                <w:kern w:val="0"/>
                <w:sz w:val="24"/>
                <w:szCs w:val="28"/>
              </w:rPr>
            </w:pPr>
            <w:r>
              <w:rPr>
                <w:rFonts w:hint="eastAsia" w:ascii="楷体" w:hAnsi="楷体" w:eastAsia="楷体" w:cs="宋体"/>
                <w:color w:val="auto"/>
                <w:kern w:val="0"/>
                <w:sz w:val="24"/>
                <w:szCs w:val="28"/>
              </w:rPr>
              <w:t>序号</w:t>
            </w:r>
          </w:p>
        </w:tc>
        <w:tc>
          <w:tcPr>
            <w:tcW w:w="1769"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widowControl/>
              <w:spacing w:line="240" w:lineRule="auto"/>
              <w:ind w:firstLine="0" w:firstLineChars="0"/>
              <w:jc w:val="center"/>
              <w:rPr>
                <w:rFonts w:ascii="楷体" w:hAnsi="楷体" w:eastAsia="楷体" w:cs="宋体"/>
                <w:color w:val="auto"/>
                <w:kern w:val="0"/>
                <w:sz w:val="24"/>
                <w:szCs w:val="28"/>
              </w:rPr>
            </w:pPr>
            <w:r>
              <w:rPr>
                <w:rFonts w:hint="eastAsia" w:ascii="楷体" w:hAnsi="楷体" w:eastAsia="楷体" w:cs="宋体"/>
                <w:color w:val="auto"/>
                <w:kern w:val="0"/>
                <w:sz w:val="24"/>
                <w:szCs w:val="28"/>
              </w:rPr>
              <w:t>项目名称</w:t>
            </w:r>
          </w:p>
        </w:tc>
        <w:tc>
          <w:tcPr>
            <w:tcW w:w="870"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widowControl/>
              <w:spacing w:line="240" w:lineRule="auto"/>
              <w:ind w:firstLine="0" w:firstLineChars="0"/>
              <w:jc w:val="center"/>
              <w:rPr>
                <w:rFonts w:ascii="楷体" w:hAnsi="楷体" w:eastAsia="楷体" w:cs="宋体"/>
                <w:color w:val="auto"/>
                <w:kern w:val="0"/>
                <w:sz w:val="24"/>
                <w:szCs w:val="28"/>
              </w:rPr>
            </w:pPr>
            <w:r>
              <w:rPr>
                <w:rFonts w:hint="eastAsia" w:ascii="楷体" w:hAnsi="楷体" w:eastAsia="楷体" w:cs="宋体"/>
                <w:color w:val="auto"/>
                <w:kern w:val="0"/>
                <w:sz w:val="24"/>
                <w:szCs w:val="28"/>
              </w:rPr>
              <w:t>建设阶段</w:t>
            </w:r>
          </w:p>
        </w:tc>
        <w:tc>
          <w:tcPr>
            <w:tcW w:w="3585"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widowControl/>
              <w:spacing w:line="240" w:lineRule="auto"/>
              <w:ind w:firstLine="0" w:firstLineChars="0"/>
              <w:jc w:val="center"/>
              <w:rPr>
                <w:rFonts w:ascii="楷体" w:hAnsi="楷体" w:eastAsia="楷体" w:cs="宋体"/>
                <w:color w:val="auto"/>
                <w:kern w:val="0"/>
                <w:sz w:val="24"/>
                <w:szCs w:val="28"/>
              </w:rPr>
            </w:pPr>
            <w:r>
              <w:rPr>
                <w:rFonts w:hint="eastAsia" w:ascii="楷体" w:hAnsi="楷体" w:eastAsia="楷体" w:cs="宋体"/>
                <w:color w:val="auto"/>
                <w:kern w:val="0"/>
                <w:sz w:val="24"/>
                <w:szCs w:val="28"/>
              </w:rPr>
              <w:t>建设内容及规模</w:t>
            </w:r>
          </w:p>
        </w:tc>
        <w:tc>
          <w:tcPr>
            <w:tcW w:w="1344"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widowControl/>
              <w:spacing w:line="240" w:lineRule="auto"/>
              <w:ind w:firstLine="0" w:firstLineChars="0"/>
              <w:jc w:val="center"/>
              <w:rPr>
                <w:rFonts w:ascii="楷体" w:hAnsi="楷体" w:eastAsia="楷体" w:cs="宋体"/>
                <w:color w:val="auto"/>
                <w:kern w:val="0"/>
                <w:sz w:val="24"/>
                <w:szCs w:val="28"/>
              </w:rPr>
            </w:pPr>
            <w:r>
              <w:rPr>
                <w:rFonts w:hint="eastAsia" w:ascii="楷体" w:hAnsi="楷体" w:eastAsia="楷体" w:cs="宋体"/>
                <w:color w:val="auto"/>
                <w:kern w:val="0"/>
                <w:sz w:val="24"/>
                <w:szCs w:val="28"/>
              </w:rPr>
              <w:t>起止年限</w:t>
            </w:r>
          </w:p>
        </w:tc>
        <w:tc>
          <w:tcPr>
            <w:tcW w:w="1304" w:type="dxa"/>
            <w:tcBorders>
              <w:top w:val="single" w:color="auto" w:sz="4" w:space="0"/>
              <w:left w:val="nil"/>
              <w:bottom w:val="single" w:color="auto" w:sz="4" w:space="0"/>
              <w:right w:val="single" w:color="auto" w:sz="4" w:space="0"/>
            </w:tcBorders>
            <w:shd w:val="clear" w:color="000000" w:fill="DEEBF6" w:themeFill="accent1" w:themeFillTint="32"/>
            <w:vAlign w:val="center"/>
          </w:tcPr>
          <w:p>
            <w:pPr>
              <w:widowControl/>
              <w:spacing w:line="240" w:lineRule="auto"/>
              <w:ind w:firstLine="0" w:firstLineChars="0"/>
              <w:jc w:val="center"/>
              <w:rPr>
                <w:rFonts w:hint="eastAsia" w:ascii="楷体" w:hAnsi="楷体" w:eastAsia="楷体" w:cs="宋体"/>
                <w:color w:val="auto"/>
                <w:kern w:val="0"/>
                <w:sz w:val="24"/>
                <w:szCs w:val="28"/>
              </w:rPr>
            </w:pPr>
            <w:r>
              <w:rPr>
                <w:rFonts w:hint="eastAsia" w:ascii="楷体" w:hAnsi="楷体" w:eastAsia="楷体" w:cs="宋体"/>
                <w:color w:val="auto"/>
                <w:kern w:val="0"/>
                <w:sz w:val="24"/>
                <w:szCs w:val="28"/>
              </w:rPr>
              <w:t>总投资</w:t>
            </w:r>
          </w:p>
          <w:p>
            <w:pPr>
              <w:widowControl/>
              <w:spacing w:line="240" w:lineRule="auto"/>
              <w:ind w:firstLine="0" w:firstLineChars="0"/>
              <w:jc w:val="center"/>
              <w:rPr>
                <w:rFonts w:ascii="楷体" w:hAnsi="楷体" w:eastAsia="楷体" w:cs="宋体"/>
                <w:color w:val="auto"/>
                <w:kern w:val="0"/>
                <w:sz w:val="24"/>
                <w:szCs w:val="28"/>
              </w:rPr>
            </w:pPr>
            <w:r>
              <w:rPr>
                <w:rFonts w:hint="eastAsia" w:ascii="楷体" w:hAnsi="楷体" w:eastAsia="楷体" w:cs="宋体"/>
                <w:color w:val="auto"/>
                <w:kern w:val="0"/>
                <w:sz w:val="24"/>
                <w:szCs w:val="28"/>
              </w:rPr>
              <w:t>（万元）</w:t>
            </w:r>
          </w:p>
        </w:tc>
      </w:tr>
      <w:tr>
        <w:tblPrEx>
          <w:tblLayout w:type="fixed"/>
          <w:tblCellMar>
            <w:top w:w="0" w:type="dxa"/>
            <w:left w:w="108" w:type="dxa"/>
            <w:bottom w:w="0" w:type="dxa"/>
            <w:right w:w="108" w:type="dxa"/>
          </w:tblCellMar>
        </w:tblPrEx>
        <w:trPr>
          <w:trHeight w:val="1410" w:hRule="atLeast"/>
        </w:trPr>
        <w:tc>
          <w:tcPr>
            <w:tcW w:w="698"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1</w:t>
            </w:r>
          </w:p>
        </w:tc>
        <w:tc>
          <w:tcPr>
            <w:tcW w:w="1769"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非现场执法点</w:t>
            </w:r>
          </w:p>
        </w:tc>
        <w:tc>
          <w:tcPr>
            <w:tcW w:w="87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lang w:val="en-US"/>
              </w:rPr>
              <w:t>新开工</w:t>
            </w:r>
          </w:p>
        </w:tc>
        <w:tc>
          <w:tcPr>
            <w:tcW w:w="358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both"/>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建设6个非现场执法点和执法系统配套</w:t>
            </w:r>
            <w:r>
              <w:rPr>
                <w:rFonts w:hint="eastAsia" w:ascii="Nimbus Roman No9 L" w:hAnsi="Nimbus Roman No9 L" w:eastAsia="方正仿宋_GBK" w:cs="Nimbus Roman No9 L"/>
                <w:color w:val="auto"/>
                <w:kern w:val="0"/>
                <w:sz w:val="24"/>
                <w:szCs w:val="28"/>
                <w:lang w:eastAsia="zh-CN"/>
              </w:rPr>
              <w:t>设施</w:t>
            </w:r>
            <w:r>
              <w:rPr>
                <w:rFonts w:hint="default" w:ascii="Nimbus Roman No9 L" w:hAnsi="Nimbus Roman No9 L" w:eastAsia="方正仿宋_GBK" w:cs="Nimbus Roman No9 L"/>
                <w:color w:val="auto"/>
                <w:kern w:val="0"/>
                <w:sz w:val="24"/>
                <w:szCs w:val="28"/>
              </w:rPr>
              <w:t>，实现科技执法、智慧执法</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2021-2025</w:t>
            </w:r>
          </w:p>
        </w:tc>
        <w:tc>
          <w:tcPr>
            <w:tcW w:w="1304"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3000</w:t>
            </w:r>
          </w:p>
        </w:tc>
      </w:tr>
      <w:tr>
        <w:tblPrEx>
          <w:tblLayout w:type="fixed"/>
          <w:tblCellMar>
            <w:top w:w="0" w:type="dxa"/>
            <w:left w:w="108" w:type="dxa"/>
            <w:bottom w:w="0" w:type="dxa"/>
            <w:right w:w="108" w:type="dxa"/>
          </w:tblCellMar>
        </w:tblPrEx>
        <w:trPr>
          <w:trHeight w:val="1110" w:hRule="atLeast"/>
        </w:trPr>
        <w:tc>
          <w:tcPr>
            <w:tcW w:w="698"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2</w:t>
            </w:r>
          </w:p>
        </w:tc>
        <w:tc>
          <w:tcPr>
            <w:tcW w:w="1769"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治超卸货场</w:t>
            </w:r>
          </w:p>
        </w:tc>
        <w:tc>
          <w:tcPr>
            <w:tcW w:w="87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lang w:val="en-US"/>
              </w:rPr>
              <w:t>新开工</w:t>
            </w:r>
          </w:p>
        </w:tc>
        <w:tc>
          <w:tcPr>
            <w:tcW w:w="358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both"/>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建设6个治超卸货场</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2021-2025</w:t>
            </w:r>
          </w:p>
        </w:tc>
        <w:tc>
          <w:tcPr>
            <w:tcW w:w="1304"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Nimbus Roman No9 L" w:hAnsi="Nimbus Roman No9 L" w:eastAsia="方正仿宋_GBK" w:cs="Nimbus Roman No9 L"/>
                <w:color w:val="auto"/>
                <w:kern w:val="0"/>
                <w:sz w:val="24"/>
                <w:szCs w:val="28"/>
              </w:rPr>
            </w:pPr>
            <w:r>
              <w:rPr>
                <w:rFonts w:hint="default" w:ascii="Nimbus Roman No9 L" w:hAnsi="Nimbus Roman No9 L" w:eastAsia="方正仿宋_GBK" w:cs="Nimbus Roman No9 L"/>
                <w:color w:val="auto"/>
                <w:kern w:val="0"/>
                <w:sz w:val="24"/>
                <w:szCs w:val="28"/>
              </w:rPr>
              <w:t>3000</w:t>
            </w:r>
          </w:p>
        </w:tc>
      </w:tr>
    </w:tbl>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b w:val="0"/>
          <w:bCs/>
          <w:color w:val="auto"/>
        </w:rPr>
      </w:pPr>
      <w:bookmarkStart w:id="64" w:name="_Toc18932"/>
      <w:r>
        <w:rPr>
          <w:rFonts w:hint="eastAsia" w:ascii="方正黑体_GBK" w:hAnsi="方正黑体_GBK" w:eastAsia="方正黑体_GBK" w:cs="方正黑体_GBK"/>
          <w:b w:val="0"/>
          <w:bCs/>
          <w:color w:val="auto"/>
        </w:rPr>
        <w:t>七、保障措施</w:t>
      </w:r>
      <w:bookmarkEnd w:id="63"/>
      <w:bookmarkEnd w:id="64"/>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65" w:name="_Toc8533"/>
      <w:bookmarkStart w:id="66" w:name="_Toc314"/>
      <w:r>
        <w:rPr>
          <w:rFonts w:hint="eastAsia" w:ascii="Nimbus Roman No9 L" w:hAnsi="Nimbus Roman No9 L" w:eastAsia="方正楷体_GBK" w:cs="Nimbus Roman No9 L"/>
          <w:b w:val="0"/>
          <w:bCs/>
          <w:color w:val="auto"/>
          <w:sz w:val="32"/>
          <w:szCs w:val="32"/>
          <w:lang w:val="en-US" w:eastAsia="zh-CN"/>
        </w:rPr>
        <w:t>7.1加强党的领导，提升政治站位、增强规划执行力</w:t>
      </w:r>
      <w:bookmarkEnd w:id="65"/>
      <w:bookmarkEnd w:id="66"/>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bookmarkStart w:id="67" w:name="_Toc9354"/>
      <w:r>
        <w:rPr>
          <w:rFonts w:hint="eastAsia" w:ascii="Nimbus Roman No9 L" w:hAnsi="Nimbus Roman No9 L" w:eastAsia="方正仿宋简体" w:cs="Nimbus Roman No9 L"/>
          <w:b w:val="0"/>
          <w:bCs w:val="0"/>
          <w:color w:val="auto"/>
          <w:kern w:val="2"/>
          <w:sz w:val="32"/>
          <w:szCs w:val="32"/>
          <w:lang w:val="en-US" w:eastAsia="zh-CN" w:bidi="ar-SA"/>
        </w:rPr>
        <w:t>“十四五”规划是国家迈入全面建设社会主义现代化国家新征程的第一个五年规划，其规划难度与重要性不言而喻。通过坚持和加强党的全面领导，以科学的途径和程序把党的路线方针政策和党中央的决策部署落实到各个领域、各个方面，确保党对一切工作的领导落到实处，国家、省、市、县各级的“十四五”规划才能得到科学的编制与实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在规划实施过程中，加强党的领导，明确主题职责、提升政治站位。强化党建对交通建设的指导作用。在党的领导下，有序建立规划实施监督制度，深入开展规划实施监督和效能监察，严格执行规划的编制、实施执行情况报告制度；健全规划中期评估制度，要组织开展规划实施评估，全面分析检查规划实施效果及各项政策措施落实情况，及时对本规划相关内容进行调整，不断提高规划的科学性和可操作性，增强规划执行力。</w:t>
      </w:r>
      <w:bookmarkEnd w:id="67"/>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68" w:name="_Toc22909"/>
      <w:bookmarkStart w:id="69" w:name="_Toc25931"/>
      <w:r>
        <w:rPr>
          <w:rFonts w:hint="eastAsia" w:ascii="Nimbus Roman No9 L" w:hAnsi="Nimbus Roman No9 L" w:eastAsia="方正楷体_GBK" w:cs="Nimbus Roman No9 L"/>
          <w:b w:val="0"/>
          <w:bCs/>
          <w:color w:val="auto"/>
          <w:sz w:val="32"/>
          <w:szCs w:val="32"/>
          <w:lang w:val="en-US" w:eastAsia="zh-CN"/>
        </w:rPr>
        <w:t>7.2强化资金保障，争取政策支持</w:t>
      </w:r>
      <w:bookmarkEnd w:id="68"/>
      <w:bookmarkEnd w:id="69"/>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bookmarkStart w:id="70" w:name="_Toc8797"/>
      <w:r>
        <w:rPr>
          <w:rFonts w:hint="eastAsia" w:ascii="Nimbus Roman No9 L" w:hAnsi="Nimbus Roman No9 L" w:eastAsia="方正仿宋简体" w:cs="Nimbus Roman No9 L"/>
          <w:b w:val="0"/>
          <w:bCs w:val="0"/>
          <w:color w:val="auto"/>
          <w:kern w:val="2"/>
          <w:sz w:val="32"/>
          <w:szCs w:val="32"/>
          <w:lang w:val="en-US" w:eastAsia="zh-CN" w:bidi="ar-SA"/>
        </w:rPr>
        <w:t>充分发挥各方积极性，延续政府引导、支持和企业自筹等多种行之有效的举措。努力争取国家和省、市交通运输部门对平远县的政策支持，尤其是对铁路、高速公路、国省干线等重大基础设施、土地指标等扶持政策；注意均衡落后地区、贫困地区交通建设的扶持力度。积极创新投融资体制机制，引导社会资金对交通建设的投入，通过投资补助、基金注资、担保补贴、贷款贴息等方式，优先支持引入社会资本的项目，吸引社会资本进入基础设施建设领域，引导和鼓励社会资本通过特许经营等方式，参与交通基础设施投资、建设、养护和运营。</w:t>
      </w:r>
      <w:bookmarkEnd w:id="70"/>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71" w:name="_Toc26178"/>
      <w:bookmarkStart w:id="72" w:name="_Toc10459"/>
      <w:r>
        <w:rPr>
          <w:rFonts w:hint="eastAsia" w:ascii="Nimbus Roman No9 L" w:hAnsi="Nimbus Roman No9 L" w:eastAsia="方正楷体_GBK" w:cs="Nimbus Roman No9 L"/>
          <w:b w:val="0"/>
          <w:bCs/>
          <w:color w:val="auto"/>
          <w:sz w:val="32"/>
          <w:szCs w:val="32"/>
          <w:lang w:val="en-US" w:eastAsia="zh-CN"/>
        </w:rPr>
        <w:t>7.3注重规划衔接，保障建设用地用林</w:t>
      </w:r>
      <w:bookmarkEnd w:id="71"/>
      <w:bookmarkEnd w:id="72"/>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bookmarkStart w:id="73" w:name="_Toc32250"/>
      <w:r>
        <w:rPr>
          <w:rFonts w:hint="eastAsia" w:ascii="Nimbus Roman No9 L" w:hAnsi="Nimbus Roman No9 L" w:eastAsia="方正仿宋简体" w:cs="Nimbus Roman No9 L"/>
          <w:b w:val="0"/>
          <w:bCs w:val="0"/>
          <w:color w:val="auto"/>
          <w:kern w:val="2"/>
          <w:sz w:val="32"/>
          <w:szCs w:val="32"/>
          <w:lang w:val="en-US" w:eastAsia="zh-CN" w:bidi="ar-SA"/>
        </w:rPr>
        <w:t>注重规划与县内城镇体系发展规划、土地利用总体规划等相关规划的相互平衡、相互衔接。加强与自然资源、林业、住房城乡建设等相关部门的沟通和协调，将公路、客运枢纽、物流园区等基础设施建设用地、用林纳入城镇发展、土地利用等各项规划；明确综合客运枢纽、农村客运站点、公路场站的公益属性，制定出台相应的土地优惠政策，降低运输企业的运营成本；配合城市建设管理部门出台相应政策保障公交枢纽站等城市静态公共交通设施规划建设用地。</w:t>
      </w:r>
      <w:bookmarkEnd w:id="73"/>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74" w:name="_Toc4043"/>
      <w:bookmarkStart w:id="75" w:name="_Toc9877"/>
      <w:r>
        <w:rPr>
          <w:rFonts w:hint="eastAsia" w:ascii="Nimbus Roman No9 L" w:hAnsi="Nimbus Roman No9 L" w:eastAsia="方正楷体_GBK" w:cs="Nimbus Roman No9 L"/>
          <w:b w:val="0"/>
          <w:bCs/>
          <w:color w:val="auto"/>
          <w:sz w:val="32"/>
          <w:szCs w:val="32"/>
          <w:lang w:val="en-US" w:eastAsia="zh-CN"/>
        </w:rPr>
        <w:t>7.4注重人才培养，弘扬行业核心价值</w:t>
      </w:r>
      <w:bookmarkEnd w:id="74"/>
      <w:r>
        <w:rPr>
          <w:rFonts w:hint="eastAsia" w:ascii="Nimbus Roman No9 L" w:hAnsi="Nimbus Roman No9 L" w:eastAsia="方正楷体_GBK" w:cs="Nimbus Roman No9 L"/>
          <w:b w:val="0"/>
          <w:bCs/>
          <w:color w:val="auto"/>
          <w:sz w:val="32"/>
          <w:szCs w:val="32"/>
          <w:lang w:val="en-US" w:eastAsia="zh-CN"/>
        </w:rPr>
        <w:t>体系</w:t>
      </w:r>
      <w:bookmarkEnd w:id="75"/>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bookmarkStart w:id="76" w:name="_Toc1498"/>
      <w:r>
        <w:rPr>
          <w:rFonts w:hint="eastAsia" w:ascii="Nimbus Roman No9 L" w:hAnsi="Nimbus Roman No9 L" w:eastAsia="方正仿宋简体" w:cs="Nimbus Roman No9 L"/>
          <w:b w:val="0"/>
          <w:bCs w:val="0"/>
          <w:color w:val="auto"/>
          <w:kern w:val="2"/>
          <w:sz w:val="32"/>
          <w:szCs w:val="32"/>
          <w:lang w:val="en-US" w:eastAsia="zh-CN" w:bidi="ar-SA"/>
        </w:rPr>
        <w:t>深入实施“人才强交”战略，加强人才交流促进本县人才综合素质，以高层次、高素质管理人才及重点领域急需紧缺人才为重点，引入高新人才、加强人才培养、增加人才总量、优化人才结构，构建创新性团队。强化交通综合行政执法队伍建设，鼓励和支持所有执法人员参加继续教育学历，努力实现执法队伍正规化、专业化、职业化。培育践行交通运输行业核心价值体系，加强行业精神文明建设，提升交通运输行业文明程度和干部职工文明素质。</w:t>
      </w:r>
      <w:bookmarkEnd w:id="76"/>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77" w:name="_Toc19737"/>
      <w:bookmarkStart w:id="78" w:name="_Toc15838"/>
      <w:r>
        <w:rPr>
          <w:rFonts w:hint="eastAsia" w:ascii="Nimbus Roman No9 L" w:hAnsi="Nimbus Roman No9 L" w:eastAsia="方正楷体_GBK" w:cs="Nimbus Roman No9 L"/>
          <w:b w:val="0"/>
          <w:bCs/>
          <w:color w:val="auto"/>
          <w:sz w:val="32"/>
          <w:szCs w:val="32"/>
          <w:lang w:val="en-US" w:eastAsia="zh-CN"/>
        </w:rPr>
        <w:t>7.5积极实施可持续发展战略，重视绿色发展</w:t>
      </w:r>
      <w:bookmarkEnd w:id="77"/>
      <w:bookmarkEnd w:id="78"/>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Nimbus Roman No9 L" w:hAnsi="Nimbus Roman No9 L" w:eastAsia="方正仿宋简体" w:cs="Nimbus Roman No9 L"/>
          <w:b w:val="0"/>
          <w:bCs w:val="0"/>
          <w:color w:val="auto"/>
          <w:kern w:val="2"/>
          <w:sz w:val="32"/>
          <w:szCs w:val="32"/>
          <w:lang w:val="en-US" w:eastAsia="zh-CN" w:bidi="ar-SA"/>
        </w:rPr>
      </w:pPr>
      <w:bookmarkStart w:id="79" w:name="_Toc12587"/>
      <w:r>
        <w:rPr>
          <w:rFonts w:hint="eastAsia" w:ascii="Nimbus Roman No9 L" w:hAnsi="Nimbus Roman No9 L" w:eastAsia="方正仿宋简体" w:cs="Nimbus Roman No9 L"/>
          <w:b w:val="0"/>
          <w:bCs w:val="0"/>
          <w:color w:val="auto"/>
          <w:kern w:val="2"/>
          <w:sz w:val="32"/>
          <w:szCs w:val="32"/>
          <w:lang w:val="en-US" w:eastAsia="zh-CN" w:bidi="ar-SA"/>
        </w:rPr>
        <w:t>重视绿色发展，在规划设计阶段，加强路线方案论证，加强对通道资源的集约利用，从严控制穿越自然保护区和城市建成区，减少对生态脆弱区、环境敏感区的影响和对耕地的占用。在施工阶段，选择用地占用少、环境破坏小、资源消耗少的施工方法，积极推行环保节能的新工艺、新材料、新产品。积极实施可持续发展战略，突出注重环境保护，推广使用环保节能车辆。</w:t>
      </w:r>
      <w:bookmarkEnd w:id="79"/>
    </w:p>
    <w:p>
      <w:pPr>
        <w:pStyle w:val="4"/>
        <w:pageBreakBefore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方正楷体_GBK" w:cs="Nimbus Roman No9 L"/>
          <w:b w:val="0"/>
          <w:bCs/>
          <w:color w:val="auto"/>
          <w:sz w:val="32"/>
          <w:szCs w:val="32"/>
          <w:lang w:val="en-US" w:eastAsia="zh-CN"/>
        </w:rPr>
      </w:pPr>
      <w:bookmarkStart w:id="80" w:name="_Toc1892"/>
      <w:bookmarkStart w:id="81" w:name="_Toc20386"/>
      <w:r>
        <w:rPr>
          <w:rFonts w:hint="eastAsia" w:ascii="Nimbus Roman No9 L" w:hAnsi="Nimbus Roman No9 L" w:eastAsia="方正楷体_GBK" w:cs="Nimbus Roman No9 L"/>
          <w:b w:val="0"/>
          <w:bCs/>
          <w:color w:val="auto"/>
          <w:sz w:val="32"/>
          <w:szCs w:val="32"/>
          <w:lang w:val="en-US" w:eastAsia="zh-CN"/>
        </w:rPr>
        <w:t>7.6夯实责任落实，确保取得实效</w:t>
      </w:r>
      <w:bookmarkEnd w:id="80"/>
      <w:bookmarkEnd w:id="81"/>
    </w:p>
    <w:p>
      <w:pPr>
        <w:pageBreakBefore w:val="0"/>
        <w:kinsoku/>
        <w:wordWrap/>
        <w:overflowPunct/>
        <w:topLinePunct w:val="0"/>
        <w:autoSpaceDE/>
        <w:autoSpaceDN/>
        <w:bidi w:val="0"/>
        <w:adjustRightInd/>
        <w:snapToGrid/>
        <w:spacing w:line="560" w:lineRule="exact"/>
        <w:ind w:firstLine="600"/>
        <w:textAlignment w:val="auto"/>
        <w:rPr>
          <w:color w:val="auto"/>
        </w:rPr>
      </w:pPr>
      <w:bookmarkStart w:id="82" w:name="_Toc11723"/>
      <w:r>
        <w:rPr>
          <w:rFonts w:hint="eastAsia" w:ascii="Nimbus Roman No9 L" w:hAnsi="Nimbus Roman No9 L" w:eastAsia="方正仿宋简体" w:cs="Nimbus Roman No9 L"/>
          <w:b w:val="0"/>
          <w:bCs w:val="0"/>
          <w:color w:val="auto"/>
          <w:kern w:val="2"/>
          <w:sz w:val="32"/>
          <w:szCs w:val="32"/>
          <w:lang w:val="en-US" w:eastAsia="zh-CN" w:bidi="ar-SA"/>
        </w:rPr>
        <w:t>紧紧围绕“十四五”时期和中长期综合交通运输发展规划的提升任务和目标，按照时间节点和序时进度要求，加强和属地镇人民政府的沟通对接，确保取得预期效果。同时应充分考虑项目的前期工作周期长、程序复杂、涉及部门多等特点，加强协调，超前谋划，尽早做好立项、勘察设计、招标等各项前期准备工作，确保规划内的项目尽早开工建设。</w:t>
      </w:r>
      <w:bookmarkEnd w:id="82"/>
    </w:p>
    <w:p>
      <w:pPr>
        <w:pageBreakBefore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pPr>
    </w:p>
    <w:p>
      <w:pPr>
        <w:pageBreakBefore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pPr>
      <w:r>
        <w:rPr>
          <w:rFonts w:hint="eastAsia" w:ascii="Nimbus Roman No9 L" w:hAnsi="Nimbus Roman No9 L" w:eastAsia="方正仿宋简体" w:cs="Nimbus Roman No9 L"/>
          <w:b w:val="0"/>
          <w:bCs w:val="0"/>
          <w:color w:val="auto"/>
          <w:kern w:val="2"/>
          <w:sz w:val="32"/>
          <w:szCs w:val="32"/>
          <w:lang w:val="en-US" w:eastAsia="zh-CN" w:bidi="ar-SA"/>
        </w:rPr>
        <w:t>附件：平远县“十四五”综合交通运输重点建设项目</w:t>
      </w:r>
    </w:p>
    <w:p>
      <w:pPr>
        <w:pageBreakBefore w:val="0"/>
        <w:kinsoku/>
        <w:wordWrap/>
        <w:overflowPunct/>
        <w:topLinePunct w:val="0"/>
        <w:autoSpaceDE/>
        <w:autoSpaceDN/>
        <w:bidi w:val="0"/>
        <w:adjustRightInd/>
        <w:snapToGrid/>
        <w:spacing w:line="560" w:lineRule="exact"/>
        <w:ind w:firstLine="600"/>
        <w:textAlignment w:val="auto"/>
        <w:rPr>
          <w:rFonts w:hint="eastAsia" w:ascii="Nimbus Roman No9 L" w:hAnsi="Nimbus Roman No9 L" w:eastAsia="方正仿宋简体" w:cs="Nimbus Roman No9 L"/>
          <w:b w:val="0"/>
          <w:bCs w:val="0"/>
          <w:color w:val="auto"/>
          <w:kern w:val="2"/>
          <w:sz w:val="32"/>
          <w:szCs w:val="32"/>
          <w:lang w:val="en-US" w:eastAsia="zh-CN" w:bidi="ar-SA"/>
        </w:rPr>
        <w:sectPr>
          <w:footerReference r:id="rId10" w:type="default"/>
          <w:pgSz w:w="11906" w:h="16838"/>
          <w:pgMar w:top="2098" w:right="1531" w:bottom="1984" w:left="1531" w:header="851" w:footer="992" w:gutter="0"/>
          <w:pgBorders>
            <w:top w:val="none" w:color="auto" w:sz="0" w:space="0"/>
            <w:left w:val="none" w:color="auto" w:sz="0" w:space="0"/>
            <w:bottom w:val="none" w:color="auto" w:sz="0" w:space="0"/>
            <w:right w:val="none" w:color="auto" w:sz="0" w:space="0"/>
          </w:pgBorders>
          <w:pgNumType w:fmt="decimal" w:start="1"/>
          <w:cols w:space="425" w:num="1"/>
          <w:docGrid w:type="lines" w:linePitch="312" w:charSpace="0"/>
        </w:sectPr>
      </w:pPr>
    </w:p>
    <w:p>
      <w:pPr>
        <w:pStyle w:val="3"/>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方正黑体_GBK" w:hAnsi="方正黑体_GBK" w:eastAsia="方正黑体_GBK" w:cs="方正黑体_GBK"/>
          <w:b w:val="0"/>
          <w:bCs/>
          <w:color w:val="auto"/>
        </w:rPr>
      </w:pPr>
      <w:bookmarkStart w:id="83" w:name="_Toc9785"/>
      <w:bookmarkStart w:id="84" w:name="OLE_LINK1"/>
      <w:r>
        <w:rPr>
          <w:rFonts w:hint="eastAsia" w:ascii="方正黑体_GBK" w:hAnsi="方正黑体_GBK" w:eastAsia="方正黑体_GBK" w:cs="方正黑体_GBK"/>
          <w:b w:val="0"/>
          <w:bCs/>
          <w:color w:val="auto"/>
        </w:rPr>
        <w:t>附</w:t>
      </w:r>
      <w:r>
        <w:rPr>
          <w:rFonts w:hint="eastAsia" w:ascii="方正黑体_GBK" w:hAnsi="方正黑体_GBK" w:eastAsia="方正黑体_GBK" w:cs="方正黑体_GBK"/>
          <w:b w:val="0"/>
          <w:bCs/>
          <w:color w:val="auto"/>
          <w:lang w:eastAsia="zh-CN"/>
        </w:rPr>
        <w:t>件</w:t>
      </w:r>
    </w:p>
    <w:p>
      <w:pPr>
        <w:pStyle w:val="3"/>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平远县“十四五”综合交通运输重点建设项目</w:t>
      </w:r>
      <w:bookmarkEnd w:id="83"/>
    </w:p>
    <w:tbl>
      <w:tblPr>
        <w:tblStyle w:val="22"/>
        <w:tblW w:w="149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2319"/>
        <w:gridCol w:w="962"/>
        <w:gridCol w:w="3288"/>
        <w:gridCol w:w="1463"/>
        <w:gridCol w:w="1091"/>
        <w:gridCol w:w="1105"/>
        <w:gridCol w:w="1183"/>
        <w:gridCol w:w="1104"/>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jc w:val="center"/>
        </w:trPr>
        <w:tc>
          <w:tcPr>
            <w:tcW w:w="515"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序号</w:t>
            </w:r>
          </w:p>
        </w:tc>
        <w:tc>
          <w:tcPr>
            <w:tcW w:w="2319"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项目名称</w:t>
            </w:r>
          </w:p>
        </w:tc>
        <w:tc>
          <w:tcPr>
            <w:tcW w:w="962"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建设</w:t>
            </w:r>
          </w:p>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阶段</w:t>
            </w:r>
          </w:p>
        </w:tc>
        <w:tc>
          <w:tcPr>
            <w:tcW w:w="3288"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建设内容及规模</w:t>
            </w:r>
          </w:p>
        </w:tc>
        <w:tc>
          <w:tcPr>
            <w:tcW w:w="1463"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起止年限</w:t>
            </w:r>
          </w:p>
        </w:tc>
        <w:tc>
          <w:tcPr>
            <w:tcW w:w="1091"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总投资（万元）</w:t>
            </w:r>
          </w:p>
        </w:tc>
        <w:tc>
          <w:tcPr>
            <w:tcW w:w="1105"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到2020年完成投资</w:t>
            </w:r>
          </w:p>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（万元）</w:t>
            </w:r>
          </w:p>
        </w:tc>
        <w:tc>
          <w:tcPr>
            <w:tcW w:w="1183"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“十四五”期间投资</w:t>
            </w:r>
          </w:p>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（万元）</w:t>
            </w:r>
          </w:p>
        </w:tc>
        <w:tc>
          <w:tcPr>
            <w:tcW w:w="1104"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项目建设用地总规模</w:t>
            </w:r>
          </w:p>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（亩）</w:t>
            </w:r>
          </w:p>
        </w:tc>
        <w:tc>
          <w:tcPr>
            <w:tcW w:w="1929" w:type="dxa"/>
            <w:shd w:val="clear" w:color="000000" w:fill="FFFFFF" w:themeFill="background1"/>
            <w:vAlign w:val="center"/>
          </w:tcPr>
          <w:p>
            <w:pPr>
              <w:pStyle w:val="35"/>
              <w:spacing w:line="360" w:lineRule="exact"/>
              <w:rPr>
                <w:rFonts w:hint="default" w:ascii="Nimbus Roman No9 L" w:hAnsi="Nimbus Roman No9 L" w:eastAsia="方正黑体_GBK" w:cs="Nimbus Roman No9 L"/>
                <w:color w:val="auto"/>
                <w:sz w:val="24"/>
                <w:szCs w:val="24"/>
              </w:rPr>
            </w:pPr>
            <w:r>
              <w:rPr>
                <w:rFonts w:hint="default" w:ascii="Nimbus Roman No9 L" w:hAnsi="Nimbus Roman No9 L" w:eastAsia="方正黑体_GBK" w:cs="Nimbus Roman No9 L"/>
                <w:color w:val="auto"/>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楷体_GBK" w:cs="Nimbus Roman No9 L"/>
                <w:color w:val="auto"/>
                <w:sz w:val="24"/>
                <w:szCs w:val="24"/>
              </w:rPr>
              <w:t>总投资</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lang w:val="en-US" w:eastAsia="zh-CN"/>
              </w:rPr>
              <w:t>2834187</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lang w:val="en-US" w:eastAsia="zh-CN"/>
              </w:rPr>
              <w:t>85000</w:t>
            </w: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lang w:val="en-US" w:eastAsia="zh-CN"/>
              </w:rPr>
              <w:t>1418430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lang w:val="en-US" w:eastAsia="zh-CN"/>
              </w:rPr>
              <w:t>25009</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一</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机场项目</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 xml:space="preserve">42000 </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5000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 xml:space="preserve">450 </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楷体_GBK" w:cs="Nimbus Roman No9 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平远县通用机场</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A1级通用机场，飞行区建设等级3B。包括跑道及停机坪、机库、维修中心、航站楼、航管中心等配套设施。</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待定</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42000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450</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w:t>
            </w:r>
            <w:r>
              <w:rPr>
                <w:rFonts w:hint="default" w:ascii="Nimbus Roman No9 L" w:hAnsi="Nimbus Roman No9 L" w:eastAsia="方正仿宋_GBK" w:cs="Nimbus Roman No9 L"/>
                <w:color w:val="auto"/>
                <w:sz w:val="24"/>
                <w:szCs w:val="24"/>
                <w:lang w:eastAsia="zh-CN"/>
              </w:rPr>
              <w:t>发展改革</w:t>
            </w:r>
            <w:r>
              <w:rPr>
                <w:rFonts w:hint="default" w:ascii="Nimbus Roman No9 L" w:hAnsi="Nimbus Roman No9 L" w:eastAsia="方正仿宋_GBK" w:cs="Nimbus Roman No9 L"/>
                <w:color w:val="auto"/>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二</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铁路项目</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 xml:space="preserve">1034000 </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335000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0</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瑞梅铁路（平远段）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平远县段47.3公里，拟单线160公里客货共线。</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330000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330000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县</w:t>
            </w:r>
            <w:r>
              <w:rPr>
                <w:rFonts w:hint="default" w:ascii="Nimbus Roman No9 L" w:hAnsi="Nimbus Roman No9 L" w:eastAsia="方正仿宋_GBK" w:cs="Nimbus Roman No9 L"/>
                <w:color w:val="auto"/>
                <w:sz w:val="24"/>
                <w:szCs w:val="24"/>
                <w:lang w:eastAsia="zh-CN"/>
              </w:rPr>
              <w:t>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赣州至梅州高铁</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平远县段约45公里，设计速度250公里/小时。</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2024</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2030</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704000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w:t>
            </w:r>
            <w:r>
              <w:rPr>
                <w:rFonts w:hint="default" w:ascii="Nimbus Roman No9 L" w:hAnsi="Nimbus Roman No9 L" w:eastAsia="方正仿宋_GBK" w:cs="Nimbus Roman No9 L"/>
                <w:color w:val="auto"/>
                <w:sz w:val="24"/>
                <w:szCs w:val="24"/>
                <w:lang w:eastAsia="zh-CN"/>
              </w:rPr>
              <w:t>发展改革</w:t>
            </w:r>
            <w:r>
              <w:rPr>
                <w:rFonts w:hint="default" w:ascii="Nimbus Roman No9 L" w:hAnsi="Nimbus Roman No9 L" w:eastAsia="方正仿宋_GBK" w:cs="Nimbus Roman No9 L"/>
                <w:color w:val="auto"/>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三</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高速公路项目</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 xml:space="preserve">898500 </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450000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 xml:space="preserve">4710 </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pacing w:val="-6"/>
                <w:sz w:val="24"/>
                <w:szCs w:val="24"/>
              </w:rPr>
            </w:pPr>
            <w:r>
              <w:rPr>
                <w:rFonts w:hint="default" w:ascii="Nimbus Roman No9 L" w:hAnsi="Nimbus Roman No9 L" w:eastAsia="方正仿宋_GBK" w:cs="Nimbus Roman No9 L"/>
                <w:color w:val="auto"/>
                <w:spacing w:val="-6"/>
                <w:sz w:val="24"/>
                <w:szCs w:val="24"/>
              </w:rPr>
              <w:t>平远至武平高速公路（含平远出口迁移</w:t>
            </w:r>
          </w:p>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pacing w:val="-6"/>
                <w:sz w:val="24"/>
                <w:szCs w:val="24"/>
              </w:rPr>
              <w:t>枢纽工程）</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全长42.2公里，拟采用双向四车道高速公路标准，设计速度100公里/小时。</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2023</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2026</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632500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450000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4710</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平（远）蕉（岭）大（埔）高速公路</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平远段全长约14公里，拟采用双向四车道高速公路标准，设计速度100公里/小时。</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2025</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2029</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238000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梅（州）平（远）</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高速公路超南出口</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新开式</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2024</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2027</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28000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四</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枢纽站场项目</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 xml:space="preserve">78000 </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78000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 xml:space="preserve">486 </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火车站综合</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交通枢纽</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新建瑞梅铁路平远站前广场、公交车站、停车场、充电站、及火车站与G206和S332线连接道路。</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32000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32000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400</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w:t>
            </w:r>
            <w:r>
              <w:rPr>
                <w:rFonts w:hint="default" w:ascii="Nimbus Roman No9 L" w:hAnsi="Nimbus Roman No9 L" w:eastAsia="方正仿宋_GBK" w:cs="Nimbus Roman No9 L"/>
                <w:color w:val="auto"/>
                <w:sz w:val="24"/>
                <w:szCs w:val="24"/>
                <w:lang w:eastAsia="zh-CN"/>
              </w:rPr>
              <w:t>发展改革</w:t>
            </w:r>
            <w:r>
              <w:rPr>
                <w:rFonts w:hint="default" w:ascii="Nimbus Roman No9 L" w:hAnsi="Nimbus Roman No9 L" w:eastAsia="方正仿宋_GBK" w:cs="Nimbus Roman No9 L"/>
                <w:color w:val="auto"/>
                <w:sz w:val="24"/>
                <w:szCs w:val="24"/>
              </w:rPr>
              <w:t>局</w:t>
            </w:r>
          </w:p>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lang w:val="en-US" w:eastAsia="zh-CN"/>
              </w:rPr>
            </w:pPr>
            <w:r>
              <w:rPr>
                <w:rFonts w:hint="default" w:ascii="Nimbus Roman No9 L" w:hAnsi="Nimbus Roman No9 L" w:eastAsia="方正仿宋_GBK" w:cs="Nimbus Roman No9 L"/>
                <w:color w:val="auto"/>
                <w:sz w:val="24"/>
                <w:szCs w:val="24"/>
                <w:lang w:val="en-US" w:eastAsia="zh-CN"/>
              </w:rPr>
              <w:t>县自然资源局</w:t>
            </w:r>
          </w:p>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lang w:val="en-US" w:eastAsia="zh-CN"/>
              </w:rPr>
              <w:t>县科工商务局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平远县大柘镇</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客运站</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新建</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2023</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18</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平远县三期工业</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园区物流园</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新建</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2023</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30</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平远县城东物流园</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新建</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2028</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25000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25000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37.5</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五</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楷体_GBK" w:cs="Nimbus Roman No9 L"/>
                <w:color w:val="auto"/>
                <w:sz w:val="24"/>
                <w:szCs w:val="24"/>
              </w:rPr>
            </w:pPr>
            <w:r>
              <w:rPr>
                <w:rFonts w:hint="default" w:ascii="Nimbus Roman No9 L" w:hAnsi="Nimbus Roman No9 L" w:eastAsia="方正楷体_GBK" w:cs="Nimbus Roman No9 L"/>
                <w:color w:val="auto"/>
                <w:sz w:val="24"/>
                <w:szCs w:val="24"/>
              </w:rPr>
              <w:t>国省道项目</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091" w:type="dxa"/>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Nimbus Roman No9 L" w:hAnsi="Nimbus Roman No9 L" w:eastAsia="方正仿宋_GBK" w:cs="Nimbus Roman No9 L"/>
                <w:color w:val="auto"/>
                <w:kern w:val="0"/>
                <w:sz w:val="24"/>
                <w:szCs w:val="24"/>
                <w:lang w:val="en-US" w:eastAsia="zh-CN" w:bidi="ar-SA"/>
              </w:rPr>
            </w:pPr>
            <w:r>
              <w:rPr>
                <w:rFonts w:hint="default" w:ascii="Nimbus Roman No9 L" w:hAnsi="Nimbus Roman No9 L" w:eastAsia="方正仿宋_GBK" w:cs="Nimbus Roman No9 L"/>
                <w:color w:val="auto"/>
                <w:kern w:val="0"/>
                <w:sz w:val="24"/>
                <w:szCs w:val="24"/>
                <w:lang w:val="en-US" w:eastAsia="zh-CN" w:bidi="ar-SA"/>
              </w:rPr>
              <w:t>489687</w:t>
            </w:r>
          </w:p>
        </w:tc>
        <w:tc>
          <w:tcPr>
            <w:tcW w:w="1105" w:type="dxa"/>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Nimbus Roman No9 L" w:hAnsi="Nimbus Roman No9 L" w:eastAsia="方正仿宋_GBK" w:cs="Nimbus Roman No9 L"/>
                <w:color w:val="auto"/>
                <w:kern w:val="0"/>
                <w:sz w:val="24"/>
                <w:szCs w:val="24"/>
                <w:lang w:val="en-US" w:eastAsia="zh-CN" w:bidi="ar-SA"/>
              </w:rPr>
            </w:pPr>
            <w:r>
              <w:rPr>
                <w:rFonts w:hint="default" w:ascii="Nimbus Roman No9 L" w:hAnsi="Nimbus Roman No9 L" w:eastAsia="方正仿宋_GBK" w:cs="Nimbus Roman No9 L"/>
                <w:color w:val="auto"/>
                <w:kern w:val="0"/>
                <w:sz w:val="24"/>
                <w:szCs w:val="24"/>
                <w:lang w:val="en-US" w:eastAsia="zh-CN" w:bidi="ar-SA"/>
              </w:rPr>
              <w:t>85000</w:t>
            </w:r>
          </w:p>
        </w:tc>
        <w:tc>
          <w:tcPr>
            <w:tcW w:w="1183" w:type="dxa"/>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Nimbus Roman No9 L" w:hAnsi="Nimbus Roman No9 L" w:eastAsia="方正仿宋_GBK" w:cs="Nimbus Roman No9 L"/>
                <w:color w:val="auto"/>
                <w:kern w:val="0"/>
                <w:sz w:val="24"/>
                <w:szCs w:val="24"/>
                <w:lang w:val="en-US" w:eastAsia="zh-CN" w:bidi="ar-SA"/>
              </w:rPr>
            </w:pPr>
            <w:r>
              <w:rPr>
                <w:rFonts w:hint="default" w:ascii="Nimbus Roman No9 L" w:hAnsi="Nimbus Roman No9 L" w:eastAsia="方正仿宋_GBK" w:cs="Nimbus Roman No9 L"/>
                <w:color w:val="auto"/>
                <w:kern w:val="0"/>
                <w:sz w:val="24"/>
                <w:szCs w:val="24"/>
                <w:lang w:val="en-US" w:eastAsia="zh-CN" w:bidi="ar-SA"/>
              </w:rPr>
              <w:t>258430</w:t>
            </w:r>
          </w:p>
        </w:tc>
        <w:tc>
          <w:tcPr>
            <w:tcW w:w="1104" w:type="dxa"/>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Nimbus Roman No9 L" w:hAnsi="Nimbus Roman No9 L" w:eastAsia="方正仿宋_GBK" w:cs="Nimbus Roman No9 L"/>
                <w:color w:val="auto"/>
                <w:kern w:val="0"/>
                <w:sz w:val="24"/>
                <w:szCs w:val="24"/>
                <w:lang w:val="en-US" w:eastAsia="zh-CN" w:bidi="ar-SA"/>
              </w:rPr>
            </w:pPr>
            <w:r>
              <w:rPr>
                <w:rFonts w:hint="default" w:ascii="Nimbus Roman No9 L" w:hAnsi="Nimbus Roman No9 L" w:eastAsia="方正仿宋_GBK" w:cs="Nimbus Roman No9 L"/>
                <w:color w:val="auto"/>
                <w:kern w:val="0"/>
                <w:sz w:val="24"/>
                <w:szCs w:val="24"/>
                <w:lang w:val="en-US" w:eastAsia="zh-CN" w:bidi="ar-SA"/>
              </w:rPr>
              <w:t>5121</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国道G206线平远县田螺纽至超竹段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续建</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一级公路新建，全长13.718</w:t>
            </w:r>
            <w:r>
              <w:rPr>
                <w:rFonts w:hint="default" w:ascii="Nimbus Roman No9 L" w:hAnsi="Nimbus Roman No9 L" w:eastAsia="方正仿宋_GBK" w:cs="Nimbus Roman No9 L"/>
                <w:color w:val="auto"/>
                <w:spacing w:val="-11"/>
                <w:sz w:val="24"/>
                <w:szCs w:val="24"/>
              </w:rPr>
              <w:t>公里，路基宽25.5米，沥青路面。</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2019</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2021</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58162</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50000</w:t>
            </w: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8162</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pacing w:val="-6"/>
                <w:sz w:val="24"/>
                <w:szCs w:val="24"/>
              </w:rPr>
              <w:t>县公路事务中心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国道G358线平远县湍溪至八尺段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续建</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二级公路改建，全长35.98公里，路基宽12米，沥青路面。</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2019</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2021</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50354</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35000</w:t>
            </w: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15354</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县公路事务中心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国道G206线平远县超竹至梅平径段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一级公路新改建，全长14.6</w:t>
            </w:r>
            <w:r>
              <w:rPr>
                <w:rFonts w:hint="default" w:ascii="Nimbus Roman No9 L" w:hAnsi="Nimbus Roman No9 L" w:eastAsia="方正仿宋_GBK" w:cs="Nimbus Roman No9 L"/>
                <w:color w:val="auto"/>
                <w:spacing w:val="-11"/>
                <w:sz w:val="24"/>
                <w:szCs w:val="24"/>
              </w:rPr>
              <w:t>公里，路基宽25.5米，沥青路面。</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2025</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2027</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lang w:val="en-US" w:eastAsia="zh-CN"/>
              </w:rPr>
              <w:t>9054</w:t>
            </w:r>
            <w:r>
              <w:rPr>
                <w:rFonts w:hint="default" w:ascii="Nimbus Roman No9 L" w:hAnsi="Nimbus Roman No9 L" w:eastAsia="方正仿宋_GBK" w:cs="Nimbus Roman No9 L"/>
                <w:color w:val="auto"/>
                <w:sz w:val="24"/>
                <w:szCs w:val="24"/>
              </w:rPr>
              <w:t>3</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lang w:val="en-US" w:eastAsia="zh-CN"/>
              </w:rPr>
            </w:pPr>
            <w:r>
              <w:rPr>
                <w:rFonts w:hint="default" w:ascii="Nimbus Roman No9 L" w:hAnsi="Nimbus Roman No9 L" w:eastAsia="方正仿宋_GBK" w:cs="Nimbus Roman No9 L"/>
                <w:color w:val="auto"/>
                <w:sz w:val="24"/>
                <w:szCs w:val="24"/>
                <w:lang w:val="en-US" w:eastAsia="zh-CN"/>
              </w:rPr>
              <w:t>80000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876</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县公路事务中心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省道S334线平远泗水</w:t>
            </w:r>
            <w:r>
              <w:rPr>
                <w:rFonts w:hint="default" w:ascii="Nimbus Roman No9 L" w:hAnsi="Nimbus Roman No9 L" w:eastAsia="方正仿宋_GBK" w:cs="Nimbus Roman No9 L"/>
                <w:color w:val="auto"/>
                <w:sz w:val="24"/>
                <w:szCs w:val="24"/>
                <w:lang w:eastAsia="zh-CN"/>
              </w:rPr>
              <w:t>圩至</w:t>
            </w:r>
            <w:r>
              <w:rPr>
                <w:rFonts w:hint="default" w:ascii="Nimbus Roman No9 L" w:hAnsi="Nimbus Roman No9 L" w:eastAsia="方正仿宋_GBK" w:cs="Nimbus Roman No9 L"/>
                <w:color w:val="auto"/>
                <w:sz w:val="24"/>
                <w:szCs w:val="24"/>
              </w:rPr>
              <w:t>上举</w:t>
            </w:r>
            <w:r>
              <w:rPr>
                <w:rFonts w:hint="default" w:ascii="Nimbus Roman No9 L" w:hAnsi="Nimbus Roman No9 L" w:eastAsia="方正仿宋_GBK" w:cs="Nimbus Roman No9 L"/>
                <w:color w:val="auto"/>
                <w:sz w:val="24"/>
                <w:szCs w:val="24"/>
                <w:lang w:eastAsia="zh-CN"/>
              </w:rPr>
              <w:t>小</w:t>
            </w:r>
            <w:r>
              <w:rPr>
                <w:rFonts w:hint="default" w:ascii="Nimbus Roman No9 L" w:hAnsi="Nimbus Roman No9 L" w:eastAsia="方正仿宋_GBK" w:cs="Nimbus Roman No9 L"/>
                <w:color w:val="auto"/>
                <w:sz w:val="24"/>
                <w:szCs w:val="24"/>
              </w:rPr>
              <w:t>畲</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二级公路，</w:t>
            </w:r>
            <w:r>
              <w:rPr>
                <w:rFonts w:hint="default" w:ascii="Nimbus Roman No9 L" w:hAnsi="Nimbus Roman No9 L" w:eastAsia="方正仿宋_GBK" w:cs="Nimbus Roman No9 L"/>
                <w:color w:val="auto"/>
                <w:sz w:val="24"/>
                <w:szCs w:val="24"/>
                <w:lang w:val="en-US" w:eastAsia="zh-CN"/>
              </w:rPr>
              <w:t>14.2</w:t>
            </w:r>
            <w:r>
              <w:rPr>
                <w:rFonts w:hint="default" w:ascii="Nimbus Roman No9 L" w:hAnsi="Nimbus Roman No9 L" w:eastAsia="方正仿宋_GBK" w:cs="Nimbus Roman No9 L"/>
                <w:color w:val="auto"/>
                <w:sz w:val="24"/>
                <w:szCs w:val="24"/>
              </w:rPr>
              <w:t>公里。</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2024</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2026</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19880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11928</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lang w:val="en-US" w:eastAsia="zh-CN"/>
              </w:rPr>
            </w:pPr>
            <w:r>
              <w:rPr>
                <w:rFonts w:hint="default" w:ascii="Nimbus Roman No9 L" w:hAnsi="Nimbus Roman No9 L" w:eastAsia="方正仿宋_GBK" w:cs="Nimbus Roman No9 L"/>
                <w:color w:val="auto"/>
                <w:sz w:val="24"/>
                <w:szCs w:val="24"/>
                <w:lang w:val="en-US" w:eastAsia="zh-CN"/>
              </w:rPr>
              <w:t>532</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省道S225线平远县大柘至石正段</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改建工程</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续建</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二级公路改建（兼具城市道路功能），全长8.316公里，路基宽19-22米，沥青路面。</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2021</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2022</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11638</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11638</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425</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县公路事务中心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6</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省道S334平远县</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上举畲脑至仁居段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二级公路，9.5公里。</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2024</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13295</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13295</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356</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7</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省道S239线平远</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长田至禾礤段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二级公路，6.5公里。</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2024</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9097</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9097</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292</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8</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省道S239线平远县差干湍溪至上举</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畲脑段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二级公路，20.556公里。</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2024</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2027</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28768</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28768</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22</w:t>
            </w:r>
            <w:r>
              <w:rPr>
                <w:rFonts w:hint="default" w:ascii="Nimbus Roman No9 L" w:hAnsi="Nimbus Roman No9 L" w:eastAsia="方正仿宋_GBK" w:cs="Nimbus Roman No9 L"/>
                <w:color w:val="auto"/>
                <w:sz w:val="24"/>
                <w:szCs w:val="24"/>
                <w:lang w:val="en-US" w:eastAsia="zh-CN"/>
              </w:rPr>
              <w:t>5</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9</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省道S334线平远</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仁居至邹坊段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二级公路，13.516公里。</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2025</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2027</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18916</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18916</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22</w:t>
            </w:r>
            <w:r>
              <w:rPr>
                <w:rFonts w:hint="default" w:ascii="Nimbus Roman No9 L" w:hAnsi="Nimbus Roman No9 L" w:eastAsia="方正仿宋_GBK" w:cs="Nimbus Roman No9 L"/>
                <w:color w:val="auto"/>
                <w:sz w:val="24"/>
                <w:szCs w:val="24"/>
                <w:lang w:val="en-US" w:eastAsia="zh-CN"/>
              </w:rPr>
              <w:t>5</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10</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省道S332线平远县大柘河陂水</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至岭下段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lang w:val="en-US" w:eastAsia="zh-CN"/>
              </w:rPr>
              <w:t>一</w:t>
            </w:r>
            <w:r>
              <w:rPr>
                <w:rFonts w:hint="default" w:ascii="Nimbus Roman No9 L" w:hAnsi="Nimbus Roman No9 L" w:eastAsia="方正仿宋_GBK" w:cs="Nimbus Roman No9 L"/>
                <w:color w:val="auto"/>
                <w:sz w:val="24"/>
                <w:szCs w:val="24"/>
              </w:rPr>
              <w:t>级公路改建，全长5.</w:t>
            </w:r>
            <w:r>
              <w:rPr>
                <w:rFonts w:hint="default" w:ascii="Nimbus Roman No9 L" w:hAnsi="Nimbus Roman No9 L" w:eastAsia="方正仿宋_GBK" w:cs="Nimbus Roman No9 L"/>
                <w:color w:val="auto"/>
                <w:sz w:val="24"/>
                <w:szCs w:val="24"/>
                <w:lang w:val="en-US" w:eastAsia="zh-CN"/>
              </w:rPr>
              <w:t>0</w:t>
            </w:r>
            <w:r>
              <w:rPr>
                <w:rFonts w:hint="default" w:ascii="Nimbus Roman No9 L" w:hAnsi="Nimbus Roman No9 L" w:eastAsia="方正仿宋_GBK" w:cs="Nimbus Roman No9 L"/>
                <w:color w:val="auto"/>
                <w:sz w:val="24"/>
                <w:szCs w:val="24"/>
              </w:rPr>
              <w:t>公里。路基宽</w:t>
            </w:r>
            <w:r>
              <w:rPr>
                <w:rFonts w:hint="default" w:ascii="Nimbus Roman No9 L" w:hAnsi="Nimbus Roman No9 L" w:eastAsia="方正仿宋_GBK" w:cs="Nimbus Roman No9 L"/>
                <w:color w:val="auto"/>
                <w:sz w:val="24"/>
                <w:szCs w:val="24"/>
                <w:lang w:val="en-US" w:eastAsia="zh-CN"/>
              </w:rPr>
              <w:t>31.5</w:t>
            </w:r>
            <w:r>
              <w:rPr>
                <w:rFonts w:hint="default" w:ascii="Nimbus Roman No9 L" w:hAnsi="Nimbus Roman No9 L" w:eastAsia="方正仿宋_GBK" w:cs="Nimbus Roman No9 L"/>
                <w:color w:val="auto"/>
                <w:sz w:val="24"/>
                <w:szCs w:val="24"/>
              </w:rPr>
              <w:t>米，沥青路面。</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lang w:val="en-US" w:eastAsia="zh-CN"/>
              </w:rPr>
            </w:pPr>
            <w:r>
              <w:rPr>
                <w:rFonts w:hint="default" w:ascii="Nimbus Roman No9 L" w:hAnsi="Nimbus Roman No9 L" w:eastAsia="方正仿宋_GBK" w:cs="Nimbus Roman No9 L"/>
                <w:color w:val="auto"/>
                <w:sz w:val="24"/>
                <w:szCs w:val="24"/>
                <w:lang w:val="en-US" w:eastAsia="zh-CN"/>
              </w:rPr>
              <w:t>23707</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lang w:val="en-US" w:eastAsia="zh-CN"/>
              </w:rPr>
            </w:pPr>
            <w:r>
              <w:rPr>
                <w:rFonts w:hint="default" w:ascii="Nimbus Roman No9 L" w:hAnsi="Nimbus Roman No9 L" w:eastAsia="方正仿宋_GBK" w:cs="Nimbus Roman No9 L"/>
                <w:color w:val="auto"/>
                <w:sz w:val="24"/>
                <w:szCs w:val="24"/>
                <w:lang w:val="en-US" w:eastAsia="zh-CN"/>
              </w:rPr>
              <w:t>23707</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82</w:t>
            </w:r>
            <w:r>
              <w:rPr>
                <w:rFonts w:hint="default" w:ascii="Nimbus Roman No9 L" w:hAnsi="Nimbus Roman No9 L" w:eastAsia="方正仿宋_GBK" w:cs="Nimbus Roman No9 L"/>
                <w:color w:val="auto"/>
                <w:sz w:val="24"/>
                <w:szCs w:val="24"/>
                <w:lang w:val="en-US" w:eastAsia="zh-CN"/>
              </w:rPr>
              <w:t>7</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县公路事务中心</w:t>
            </w:r>
          </w:p>
        </w:tc>
      </w:tr>
      <w:tr>
        <w:tblPrEx>
          <w:tblLayout w:type="fixed"/>
          <w:tblCellMar>
            <w:top w:w="0" w:type="dxa"/>
            <w:left w:w="108" w:type="dxa"/>
            <w:bottom w:w="0" w:type="dxa"/>
            <w:right w:w="108" w:type="dxa"/>
          </w:tblCellMar>
        </w:tblPrEx>
        <w:trPr>
          <w:trHeight w:val="76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11</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省道S239线平远上举畲脑至东石</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汶水段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二级公路，11.71公里。</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2024</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2026</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17565</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17565</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78</w:t>
            </w:r>
            <w:r>
              <w:rPr>
                <w:rFonts w:hint="default" w:ascii="Nimbus Roman No9 L" w:hAnsi="Nimbus Roman No9 L" w:eastAsia="方正仿宋_GBK" w:cs="Nimbus Roman No9 L"/>
                <w:color w:val="auto"/>
                <w:sz w:val="24"/>
                <w:szCs w:val="24"/>
                <w:lang w:val="en-US" w:eastAsia="zh-CN"/>
              </w:rPr>
              <w:t>2</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12</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国道G206线平远县牛埃石至大柘段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前期</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工作</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一级公路新改建，全长24.7</w:t>
            </w:r>
            <w:r>
              <w:rPr>
                <w:rFonts w:hint="default" w:ascii="Nimbus Roman No9 L" w:hAnsi="Nimbus Roman No9 L" w:eastAsia="方正仿宋_GBK" w:cs="Nimbus Roman No9 L"/>
                <w:color w:val="auto"/>
                <w:spacing w:val="-11"/>
                <w:sz w:val="24"/>
                <w:szCs w:val="24"/>
              </w:rPr>
              <w:t>公里，路基宽25.5米，沥青路面。</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2026</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2029</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85863</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县公路事务中心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13</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省道S239线平远</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热柘至长田段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前期</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工作</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二级公路，10.281公里。</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2026</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2028</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14388</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14</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省道S225线平远县石正至牵牛栋段</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前期</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工作</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一级公路新改建，全长7.914公里，路基宽25.5米，沥青砼路面。</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2027</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2029</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27511</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474</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县公路事务中心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15</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径门口新老国道连接线（高架桥）</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一级公路，1.5公里</w:t>
            </w:r>
            <w:r>
              <w:rPr>
                <w:rFonts w:hint="eastAsia" w:ascii="Nimbus Roman No9 L" w:hAnsi="Nimbus Roman No9 L" w:eastAsia="方正仿宋_GBK" w:cs="Nimbus Roman No9 L"/>
                <w:color w:val="auto"/>
                <w:sz w:val="24"/>
                <w:szCs w:val="24"/>
                <w:lang w:eastAsia="zh-CN"/>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15000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15000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lang w:val="en-US" w:eastAsia="zh-CN"/>
              </w:rPr>
            </w:pPr>
            <w:r>
              <w:rPr>
                <w:rFonts w:hint="default" w:ascii="Nimbus Roman No9 L" w:hAnsi="Nimbus Roman No9 L" w:eastAsia="方正仿宋_GBK" w:cs="Nimbus Roman No9 L"/>
                <w:color w:val="auto"/>
                <w:sz w:val="24"/>
                <w:szCs w:val="24"/>
                <w:lang w:val="en-US" w:eastAsia="zh-CN"/>
              </w:rPr>
              <w:t>68</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16</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环北路与旅游公路连接线</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一级公路，1.0公里</w:t>
            </w:r>
            <w:r>
              <w:rPr>
                <w:rFonts w:hint="eastAsia" w:ascii="Nimbus Roman No9 L" w:hAnsi="Nimbus Roman No9 L" w:eastAsia="方正仿宋_GBK" w:cs="Nimbus Roman No9 L"/>
                <w:color w:val="auto"/>
                <w:sz w:val="24"/>
                <w:szCs w:val="24"/>
                <w:lang w:eastAsia="zh-CN"/>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39</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eastAsia" w:ascii="方正楷体_GBK" w:hAnsi="方正楷体_GBK" w:eastAsia="方正楷体_GBK" w:cs="方正楷体_GBK"/>
                <w:color w:val="auto"/>
                <w:sz w:val="24"/>
                <w:szCs w:val="24"/>
              </w:rPr>
            </w:pPr>
            <w:r>
              <w:rPr>
                <w:rFonts w:hint="eastAsia" w:ascii="方正楷体_GBK" w:hAnsi="方正楷体_GBK" w:eastAsia="方正楷体_GBK" w:cs="方正楷体_GBK"/>
                <w:color w:val="auto"/>
                <w:sz w:val="24"/>
                <w:szCs w:val="24"/>
              </w:rPr>
              <w:t>六</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eastAsia" w:ascii="方正楷体_GBK" w:hAnsi="方正楷体_GBK" w:eastAsia="方正楷体_GBK" w:cs="方正楷体_GBK"/>
                <w:color w:val="auto"/>
                <w:sz w:val="24"/>
                <w:szCs w:val="24"/>
              </w:rPr>
            </w:pPr>
            <w:r>
              <w:rPr>
                <w:rFonts w:hint="eastAsia" w:ascii="方正楷体_GBK" w:hAnsi="方正楷体_GBK" w:eastAsia="方正楷体_GBK" w:cs="方正楷体_GBK"/>
                <w:color w:val="auto"/>
                <w:sz w:val="24"/>
                <w:szCs w:val="24"/>
              </w:rPr>
              <w:t>“四好农村路”</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 xml:space="preserve">276800 </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276800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14185</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县道升级改造工程</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升级</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改造</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三级路207.537公里</w:t>
            </w:r>
            <w:r>
              <w:rPr>
                <w:rFonts w:hint="eastAsia" w:ascii="Nimbus Roman No9 L" w:hAnsi="Nimbus Roman No9 L" w:eastAsia="方正仿宋_GBK" w:cs="Nimbus Roman No9 L"/>
                <w:color w:val="auto"/>
                <w:sz w:val="24"/>
                <w:szCs w:val="24"/>
                <w:lang w:eastAsia="zh-CN"/>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2022</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93400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93400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1558</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通产业园区、旅游</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景区公路工程</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新建</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三级路32.308公里</w:t>
            </w:r>
            <w:r>
              <w:rPr>
                <w:rFonts w:hint="eastAsia" w:ascii="Nimbus Roman No9 L" w:hAnsi="Nimbus Roman No9 L" w:eastAsia="方正仿宋_GBK" w:cs="Nimbus Roman No9 L"/>
                <w:color w:val="auto"/>
                <w:sz w:val="24"/>
                <w:szCs w:val="24"/>
                <w:lang w:eastAsia="zh-CN"/>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2021</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2024</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22600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22600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727</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 xml:space="preserve">美丽农村公路建设 </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新建</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400公里</w:t>
            </w:r>
            <w:r>
              <w:rPr>
                <w:rFonts w:hint="eastAsia" w:ascii="Nimbus Roman No9 L" w:hAnsi="Nimbus Roman No9 L" w:eastAsia="方正仿宋_GBK" w:cs="Nimbus Roman No9 L"/>
                <w:color w:val="auto"/>
                <w:sz w:val="24"/>
                <w:szCs w:val="24"/>
                <w:lang w:eastAsia="zh-CN"/>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2021</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bottom"/>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32000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32000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3000</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农村公路危桥改造</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改造</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30座</w:t>
            </w:r>
            <w:r>
              <w:rPr>
                <w:rFonts w:hint="eastAsia" w:ascii="Nimbus Roman No9 L" w:hAnsi="Nimbus Roman No9 L" w:eastAsia="方正仿宋_GBK" w:cs="Nimbus Roman No9 L"/>
                <w:color w:val="auto"/>
                <w:sz w:val="24"/>
                <w:szCs w:val="24"/>
                <w:lang w:eastAsia="zh-CN"/>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2021</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5500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5500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乡镇通建制村四级双车道改造工程</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改造</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354.328公里</w:t>
            </w:r>
            <w:r>
              <w:rPr>
                <w:rFonts w:hint="eastAsia" w:ascii="Nimbus Roman No9 L" w:hAnsi="Nimbus Roman No9 L" w:eastAsia="方正仿宋_GBK" w:cs="Nimbus Roman No9 L"/>
                <w:color w:val="auto"/>
                <w:sz w:val="24"/>
                <w:szCs w:val="24"/>
                <w:lang w:eastAsia="zh-CN"/>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2021</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70800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70800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4250</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6</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通村组硬化路</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改造工程</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路面</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改造</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200公里</w:t>
            </w:r>
            <w:r>
              <w:rPr>
                <w:rFonts w:hint="eastAsia" w:ascii="Nimbus Roman No9 L" w:hAnsi="Nimbus Roman No9 L" w:eastAsia="方正仿宋_GBK" w:cs="Nimbus Roman No9 L"/>
                <w:color w:val="auto"/>
                <w:sz w:val="24"/>
                <w:szCs w:val="24"/>
                <w:lang w:eastAsia="zh-CN"/>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2021</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12000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12000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1950</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7</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农村公路大中修工程（含窄路基路面</w:t>
            </w:r>
          </w:p>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拓宽改造）</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改造</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auto"/>
                <w:sz w:val="24"/>
                <w:szCs w:val="24"/>
                <w:lang w:eastAsia="zh-CN"/>
              </w:rPr>
            </w:pPr>
            <w:r>
              <w:rPr>
                <w:rFonts w:hint="default" w:ascii="Nimbus Roman No9 L" w:hAnsi="Nimbus Roman No9 L" w:eastAsia="方正仿宋_GBK" w:cs="Nimbus Roman No9 L"/>
                <w:color w:val="auto"/>
                <w:sz w:val="24"/>
                <w:szCs w:val="24"/>
              </w:rPr>
              <w:t>450公里</w:t>
            </w:r>
            <w:r>
              <w:rPr>
                <w:rFonts w:hint="eastAsia" w:ascii="Nimbus Roman No9 L" w:hAnsi="Nimbus Roman No9 L" w:eastAsia="方正仿宋_GBK" w:cs="Nimbus Roman No9 L"/>
                <w:color w:val="auto"/>
                <w:sz w:val="24"/>
                <w:szCs w:val="24"/>
                <w:lang w:eastAsia="zh-CN"/>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2021</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40500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40500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2700</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方正楷体_GBK" w:hAnsi="方正楷体_GBK" w:eastAsia="方正楷体_GBK" w:cs="方正楷体_GBK"/>
                <w:color w:val="auto"/>
                <w:sz w:val="24"/>
                <w:szCs w:val="24"/>
              </w:rPr>
            </w:pPr>
            <w:r>
              <w:rPr>
                <w:rFonts w:hint="default" w:ascii="方正楷体_GBK" w:hAnsi="方正楷体_GBK" w:eastAsia="方正楷体_GBK" w:cs="方正楷体_GBK"/>
                <w:color w:val="auto"/>
                <w:sz w:val="24"/>
                <w:szCs w:val="24"/>
              </w:rPr>
              <w:t>七</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方正楷体_GBK" w:hAnsi="方正楷体_GBK" w:eastAsia="方正楷体_GBK" w:cs="方正楷体_GBK"/>
                <w:color w:val="auto"/>
                <w:sz w:val="24"/>
                <w:szCs w:val="24"/>
              </w:rPr>
            </w:pPr>
            <w:r>
              <w:rPr>
                <w:rFonts w:hint="default" w:ascii="方正楷体_GBK" w:hAnsi="方正楷体_GBK" w:eastAsia="方正楷体_GBK" w:cs="方正楷体_GBK"/>
                <w:color w:val="auto"/>
                <w:sz w:val="24"/>
                <w:szCs w:val="24"/>
              </w:rPr>
              <w:t>支持保障系统</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default" w:ascii="Nimbus Roman No9 L" w:hAnsi="Nimbus Roman No9 L" w:eastAsia="方正仿宋_GBK" w:cs="Nimbus Roman No9 L"/>
                <w:color w:val="auto"/>
                <w:sz w:val="24"/>
                <w:szCs w:val="24"/>
              </w:rPr>
            </w:pP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 xml:space="preserve">15200 </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 xml:space="preserve">15200 </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57</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51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w:t>
            </w:r>
          </w:p>
        </w:tc>
        <w:tc>
          <w:tcPr>
            <w:tcW w:w="231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交通保障系统建设</w:t>
            </w:r>
          </w:p>
        </w:tc>
        <w:tc>
          <w:tcPr>
            <w:tcW w:w="962"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新开工</w:t>
            </w:r>
          </w:p>
        </w:tc>
        <w:tc>
          <w:tcPr>
            <w:tcW w:w="3288"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both"/>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pPr>
            <w:r>
              <w:rPr>
                <w:rFonts w:hint="default" w:ascii="Nimbus Roman No9 L" w:hAnsi="Nimbus Roman No9 L" w:eastAsia="方正仿宋_GBK" w:cs="Nimbus Roman No9 L"/>
                <w:color w:val="000000" w:themeColor="text1"/>
                <w:kern w:val="0"/>
                <w:sz w:val="24"/>
                <w:szCs w:val="28"/>
                <w14:textFill>
                  <w14:solidFill>
                    <w14:schemeClr w14:val="tx1"/>
                  </w14:solidFill>
                </w14:textFill>
              </w:rPr>
              <w:t>建设6个非现场执法点和执法系统配套</w:t>
            </w:r>
            <w:r>
              <w:rPr>
                <w:rFonts w:hint="eastAsia" w:ascii="Nimbus Roman No9 L" w:hAnsi="Nimbus Roman No9 L" w:eastAsia="方正仿宋_GBK" w:cs="Nimbus Roman No9 L"/>
                <w:color w:val="000000" w:themeColor="text1"/>
                <w:kern w:val="0"/>
                <w:sz w:val="24"/>
                <w:szCs w:val="28"/>
                <w:lang w:eastAsia="zh-CN"/>
                <w14:textFill>
                  <w14:solidFill>
                    <w14:schemeClr w14:val="tx1"/>
                  </w14:solidFill>
                </w14:textFill>
              </w:rPr>
              <w:t>设施</w:t>
            </w:r>
            <w:r>
              <w:rPr>
                <w:rFonts w:hint="default" w:ascii="Nimbus Roman No9 L" w:hAnsi="Nimbus Roman No9 L" w:eastAsia="方正仿宋_GBK" w:cs="Nimbus Roman No9 L"/>
                <w:color w:val="000000" w:themeColor="text1"/>
                <w:sz w:val="24"/>
                <w:szCs w:val="24"/>
                <w14:textFill>
                  <w14:solidFill>
                    <w14:schemeClr w14:val="tx1"/>
                  </w14:solidFill>
                </w14:textFill>
              </w:rPr>
              <w:t>、</w:t>
            </w:r>
            <w:r>
              <w:rPr>
                <w:rFonts w:hint="default" w:ascii="Nimbus Roman No9 L" w:hAnsi="Nimbus Roman No9 L" w:eastAsia="方正仿宋_GBK" w:cs="Nimbus Roman No9 L"/>
                <w:color w:val="000000" w:themeColor="text1"/>
                <w:kern w:val="0"/>
                <w:sz w:val="24"/>
                <w:szCs w:val="28"/>
                <w14:textFill>
                  <w14:solidFill>
                    <w14:schemeClr w14:val="tx1"/>
                  </w14:solidFill>
                </w14:textFill>
              </w:rPr>
              <w:t>6个治超卸货场</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和</w:t>
            </w:r>
            <w:r>
              <w:rPr>
                <w:rFonts w:hint="default" w:ascii="Nimbus Roman No9 L" w:hAnsi="Nimbus Roman No9 L" w:eastAsia="方正仿宋_GBK" w:cs="Nimbus Roman No9 L"/>
                <w:color w:val="000000" w:themeColor="text1"/>
                <w:sz w:val="24"/>
                <w:szCs w:val="24"/>
                <w14:textFill>
                  <w14:solidFill>
                    <w14:schemeClr w14:val="tx1"/>
                  </w14:solidFill>
                </w14:textFill>
              </w:rPr>
              <w:t>10个</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省道</w:t>
            </w:r>
            <w:r>
              <w:rPr>
                <w:rFonts w:hint="default" w:ascii="Nimbus Roman No9 L" w:hAnsi="Nimbus Roman No9 L" w:eastAsia="方正仿宋_GBK" w:cs="Nimbus Roman No9 L"/>
                <w:color w:val="000000" w:themeColor="text1"/>
                <w:sz w:val="24"/>
                <w:szCs w:val="24"/>
                <w14:textFill>
                  <w14:solidFill>
                    <w14:schemeClr w14:val="tx1"/>
                  </w14:solidFill>
                </w14:textFill>
              </w:rPr>
              <w:t>服务区</w:t>
            </w:r>
            <w:r>
              <w:rPr>
                <w:rFonts w:hint="eastAsia" w:ascii="Nimbus Roman No9 L" w:hAnsi="Nimbus Roman No9 L" w:eastAsia="方正仿宋_GBK" w:cs="Nimbus Roman No9 L"/>
                <w:color w:val="000000" w:themeColor="text1"/>
                <w:sz w:val="24"/>
                <w:szCs w:val="24"/>
                <w:lang w:eastAsia="zh-CN"/>
                <w14:textFill>
                  <w14:solidFill>
                    <w14:schemeClr w14:val="tx1"/>
                  </w14:solidFill>
                </w14:textFill>
              </w:rPr>
              <w:t>。</w:t>
            </w:r>
          </w:p>
        </w:tc>
        <w:tc>
          <w:tcPr>
            <w:tcW w:w="146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2021</w:t>
            </w:r>
            <w:r>
              <w:rPr>
                <w:rFonts w:hint="eastAsia" w:ascii="Nimbus Roman No9 L" w:hAnsi="Nimbus Roman No9 L" w:eastAsia="方正仿宋_GBK" w:cs="Nimbus Roman No9 L"/>
                <w:color w:val="auto"/>
                <w:sz w:val="24"/>
                <w:szCs w:val="24"/>
                <w:lang w:eastAsia="zh-CN"/>
              </w:rPr>
              <w:t>—</w:t>
            </w:r>
            <w:r>
              <w:rPr>
                <w:rFonts w:hint="default" w:ascii="Nimbus Roman No9 L" w:hAnsi="Nimbus Roman No9 L" w:eastAsia="方正仿宋_GBK" w:cs="Nimbus Roman No9 L"/>
                <w:color w:val="auto"/>
                <w:sz w:val="24"/>
                <w:szCs w:val="24"/>
              </w:rPr>
              <w:t>2025</w:t>
            </w:r>
          </w:p>
        </w:tc>
        <w:tc>
          <w:tcPr>
            <w:tcW w:w="1091"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15200</w:t>
            </w:r>
          </w:p>
        </w:tc>
        <w:tc>
          <w:tcPr>
            <w:tcW w:w="1105"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p>
        </w:tc>
        <w:tc>
          <w:tcPr>
            <w:tcW w:w="1183"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15200</w:t>
            </w:r>
          </w:p>
        </w:tc>
        <w:tc>
          <w:tcPr>
            <w:tcW w:w="1104"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57</w:t>
            </w:r>
          </w:p>
        </w:tc>
        <w:tc>
          <w:tcPr>
            <w:tcW w:w="1929" w:type="dxa"/>
            <w:shd w:val="clear" w:color="000000" w:fill="FFFFFF"/>
            <w:vAlign w:val="center"/>
          </w:tcPr>
          <w:p>
            <w:pPr>
              <w:pStyle w:val="35"/>
              <w:keepNext w:val="0"/>
              <w:keepLines w:val="0"/>
              <w:pageBreakBefore w:val="0"/>
              <w:widowControl/>
              <w:kinsoku/>
              <w:wordWrap/>
              <w:overflowPunct/>
              <w:topLinePunct w:val="0"/>
              <w:autoSpaceDE/>
              <w:autoSpaceDN/>
              <w:bidi w:val="0"/>
              <w:adjustRightInd/>
              <w:snapToGrid/>
              <w:spacing w:line="320" w:lineRule="exact"/>
              <w:jc w:val="center"/>
              <w:rPr>
                <w:rFonts w:hint="default" w:ascii="Nimbus Roman No9 L" w:hAnsi="Nimbus Roman No9 L" w:eastAsia="方正仿宋_GBK" w:cs="Nimbus Roman No9 L"/>
                <w:color w:val="auto"/>
                <w:sz w:val="24"/>
                <w:szCs w:val="24"/>
              </w:rPr>
            </w:pPr>
            <w:r>
              <w:rPr>
                <w:rFonts w:hint="default" w:ascii="Nimbus Roman No9 L" w:hAnsi="Nimbus Roman No9 L" w:eastAsia="方正仿宋_GBK" w:cs="Nimbus Roman No9 L"/>
                <w:color w:val="auto"/>
                <w:sz w:val="24"/>
                <w:szCs w:val="24"/>
              </w:rPr>
              <w:t>县交通运输局</w:t>
            </w:r>
          </w:p>
        </w:tc>
      </w:tr>
      <w:bookmarkEnd w:id="84"/>
    </w:tbl>
    <w:p>
      <w:pPr>
        <w:ind w:firstLine="600"/>
        <w:rPr>
          <w:color w:val="auto"/>
        </w:rPr>
      </w:pPr>
    </w:p>
    <w:p>
      <w:pPr>
        <w:ind w:firstLine="600"/>
        <w:rPr>
          <w:color w:val="auto"/>
        </w:rPr>
      </w:pPr>
    </w:p>
    <w:p>
      <w:pPr>
        <w:ind w:firstLine="600"/>
        <w:rPr>
          <w:color w:val="auto"/>
        </w:rPr>
      </w:pPr>
    </w:p>
    <w:p>
      <w:pPr>
        <w:ind w:firstLine="600"/>
        <w:rPr>
          <w:color w:val="auto"/>
        </w:rPr>
      </w:pPr>
    </w:p>
    <w:p>
      <w:pPr>
        <w:ind w:firstLine="600"/>
        <w:rPr>
          <w:color w:val="auto"/>
        </w:rPr>
        <w:sectPr>
          <w:pgSz w:w="16838" w:h="11906" w:orient="landscape"/>
          <w:pgMar w:top="2098" w:right="1531" w:bottom="1984" w:left="1531" w:header="851" w:footer="794" w:gutter="0"/>
          <w:pgBorders>
            <w:top w:val="none" w:color="auto" w:sz="0" w:space="0"/>
            <w:left w:val="none" w:color="auto" w:sz="0" w:space="0"/>
            <w:bottom w:val="none" w:color="auto" w:sz="0" w:space="0"/>
            <w:right w:val="none" w:color="auto" w:sz="0" w:space="0"/>
          </w:pgBorders>
          <w:pgNumType w:fmt="decimal"/>
          <w:cols w:space="425" w:num="1"/>
          <w:docGrid w:type="linesAndChars" w:linePitch="435" w:charSpace="0"/>
        </w:sectPr>
      </w:pPr>
    </w:p>
    <w:p>
      <w:pPr>
        <w:ind w:firstLine="600"/>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ind w:left="0" w:leftChars="0" w:firstLine="0" w:firstLineChars="0"/>
        <w:rPr>
          <w:color w:val="auto"/>
        </w:rPr>
      </w:pPr>
    </w:p>
    <w:p>
      <w:pPr>
        <w:ind w:left="0" w:leftChars="0" w:firstLine="0" w:firstLineChars="0"/>
        <w:rPr>
          <w:color w:val="auto"/>
        </w:rPr>
      </w:pPr>
    </w:p>
    <w:p>
      <w:pPr>
        <w:rPr>
          <w:color w:val="auto"/>
        </w:rPr>
      </w:pPr>
    </w:p>
    <w:p>
      <w:pPr>
        <w:keepNext w:val="0"/>
        <w:keepLines w:val="0"/>
        <w:pageBreakBefore w:val="0"/>
        <w:widowControl w:val="0"/>
        <w:kinsoku/>
        <w:wordWrap/>
        <w:overflowPunct/>
        <w:topLinePunct w:val="0"/>
        <w:autoSpaceDE/>
        <w:autoSpaceDN/>
        <w:bidi w:val="0"/>
        <w:adjustRightInd/>
        <w:snapToGrid/>
        <w:spacing w:line="760" w:lineRule="exact"/>
        <w:textAlignment w:val="auto"/>
        <w:rPr>
          <w:color w:val="auto"/>
        </w:rPr>
      </w:pPr>
    </w:p>
    <w:p>
      <w:pPr>
        <w:keepNext w:val="0"/>
        <w:keepLines w:val="0"/>
        <w:pageBreakBefore w:val="0"/>
        <w:widowControl w:val="0"/>
        <w:kinsoku/>
        <w:wordWrap/>
        <w:overflowPunct/>
        <w:topLinePunct w:val="0"/>
        <w:autoSpaceDE/>
        <w:autoSpaceDN/>
        <w:bidi w:val="0"/>
        <w:adjustRightInd/>
        <w:snapToGrid/>
        <w:spacing w:line="760" w:lineRule="exact"/>
        <w:textAlignment w:val="auto"/>
        <w:rPr>
          <w:color w:val="auto"/>
        </w:rPr>
      </w:pPr>
    </w:p>
    <w:p>
      <w:pPr>
        <w:overflowPunct w:val="0"/>
        <w:spacing w:line="600" w:lineRule="exact"/>
        <w:ind w:firstLine="0" w:firstLineChars="0"/>
        <w:jc w:val="left"/>
        <w:rPr>
          <w:rFonts w:ascii="Calibri" w:hAnsi="Calibri" w:eastAsia="方正仿宋简体" w:cs="Times New Roman"/>
          <w:sz w:val="32"/>
          <w:szCs w:val="32"/>
        </w:rPr>
      </w:pPr>
      <w:r>
        <w:rPr>
          <w:rFonts w:ascii="Calibri" w:hAnsi="Calibri" w:eastAsia="方正黑体简体" w:cs="Times New Roman"/>
          <w:sz w:val="32"/>
          <w:szCs w:val="32"/>
        </w:rPr>
        <w:t>公开方式：</w:t>
      </w:r>
      <w:r>
        <w:rPr>
          <w:rFonts w:ascii="Calibri" w:hAnsi="Calibri" w:eastAsia="方正仿宋简体" w:cs="Times New Roman"/>
          <w:sz w:val="32"/>
          <w:szCs w:val="32"/>
        </w:rPr>
        <w:t>主动公开</w:t>
      </w:r>
    </w:p>
    <w:p>
      <w:pPr>
        <w:spacing w:line="600" w:lineRule="exact"/>
        <w:ind w:firstLine="0" w:firstLineChars="0"/>
        <w:jc w:val="left"/>
        <w:rPr>
          <w:rFonts w:ascii="Calibri" w:hAnsi="Calibri" w:eastAsia="仿宋_GB2312" w:cs="Times New Roman"/>
          <w:sz w:val="28"/>
          <w:szCs w:val="22"/>
        </w:rPr>
      </w:pPr>
    </w:p>
    <w:p>
      <w:pPr>
        <w:spacing w:line="400" w:lineRule="exact"/>
        <w:ind w:firstLine="210" w:firstLineChars="100"/>
        <w:jc w:val="left"/>
        <w:rPr>
          <w:rFonts w:ascii="Calibri" w:hAnsi="Calibri" w:eastAsia="方正仿宋简体" w:cs="Times New Roman"/>
          <w:sz w:val="28"/>
          <w:szCs w:val="22"/>
        </w:rPr>
      </w:pPr>
      <w:r>
        <w:rPr>
          <w:rFonts w:ascii="Calibri" w:hAnsi="Calibri" w:eastAsia="宋体" w:cs="Times New Roman"/>
          <w:sz w:val="21"/>
          <w:szCs w:val="22"/>
        </w:rPr>
        <mc:AlternateContent>
          <mc:Choice Requires="wps">
            <w:drawing>
              <wp:anchor distT="0" distB="0" distL="114300" distR="114300" simplePos="0" relativeHeight="251660288" behindDoc="0" locked="0" layoutInCell="1" allowOverlap="1">
                <wp:simplePos x="0" y="0"/>
                <wp:positionH relativeFrom="column">
                  <wp:posOffset>8255</wp:posOffset>
                </wp:positionH>
                <wp:positionV relativeFrom="paragraph">
                  <wp:posOffset>635</wp:posOffset>
                </wp:positionV>
                <wp:extent cx="5629275" cy="0"/>
                <wp:effectExtent l="0" t="0" r="0" b="0"/>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65pt;margin-top:0.05pt;height:0pt;width:443.25pt;z-index:251660288;mso-width-relative:page;mso-height-relative:page;" filled="f" stroked="t" coordsize="21600,21600" o:gfxdata="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0W4+j0AAAAAMBAAAPAAAAAAAAAAEAIAAAACIAAABkcnMvZG93&#10;bnJldi54bWxQSwECFAAUAAAACACHTuJAkC4GRs8BAABsAwAADgAAAAAAAAABACAAAAAfAQAAZHJz&#10;L2Uyb0RvYy54bWxQSwUGAAAAAAYABgBZAQAAYAUAAAAA&#10;">
                <v:fill on="f" focussize="0,0"/>
                <v:stroke color="#000000" joinstyle="round"/>
                <v:imagedata o:title=""/>
                <o:lock v:ext="edit" aspectratio="f"/>
              </v:line>
            </w:pict>
          </mc:Fallback>
        </mc:AlternateContent>
      </w:r>
      <w:r>
        <w:rPr>
          <w:rFonts w:ascii="Calibri" w:hAnsi="Calibri" w:eastAsia="方正仿宋简体" w:cs="Times New Roman"/>
          <w:sz w:val="28"/>
          <w:szCs w:val="22"/>
        </w:rPr>
        <w:t>抄送：县纪委</w:t>
      </w:r>
      <w:r>
        <w:rPr>
          <w:rFonts w:hint="eastAsia" w:ascii="Calibri" w:hAnsi="Calibri" w:eastAsia="方正仿宋简体" w:cs="Times New Roman"/>
          <w:sz w:val="28"/>
          <w:szCs w:val="22"/>
        </w:rPr>
        <w:t>监委</w:t>
      </w:r>
      <w:r>
        <w:rPr>
          <w:rFonts w:ascii="Calibri" w:hAnsi="Calibri" w:eastAsia="方正仿宋简体" w:cs="Times New Roman"/>
          <w:sz w:val="28"/>
          <w:szCs w:val="22"/>
        </w:rPr>
        <w:t>，县委各部、委、办、局，县人大办，县政协办，</w:t>
      </w:r>
    </w:p>
    <w:p>
      <w:pPr>
        <w:spacing w:line="400" w:lineRule="exact"/>
        <w:ind w:firstLine="1064" w:firstLineChars="380"/>
        <w:jc w:val="left"/>
        <w:rPr>
          <w:rFonts w:ascii="Calibri" w:hAnsi="Calibri" w:eastAsia="方正仿宋简体" w:cs="Times New Roman"/>
          <w:sz w:val="28"/>
          <w:szCs w:val="22"/>
        </w:rPr>
      </w:pPr>
      <w:r>
        <w:rPr>
          <w:rFonts w:ascii="Calibri" w:hAnsi="Calibri" w:eastAsia="方正仿宋简体" w:cs="Times New Roman"/>
          <w:sz w:val="28"/>
          <w:szCs w:val="22"/>
        </w:rPr>
        <w:t xml:space="preserve">县人武部，县法院，县检察院，各人民团体。             </w:t>
      </w:r>
    </w:p>
    <w:p>
      <w:pPr>
        <w:spacing w:line="400" w:lineRule="exact"/>
        <w:ind w:firstLine="0" w:firstLineChars="0"/>
        <w:jc w:val="left"/>
        <w:rPr>
          <w:rFonts w:hint="default" w:ascii="仿宋_GB2312" w:hAnsi="仿宋_GB2312" w:eastAsia="仿宋_GB2312" w:cs="仿宋_GB2312"/>
          <w:kern w:val="2"/>
          <w:sz w:val="32"/>
          <w:szCs w:val="32"/>
          <w:lang w:val="en-US" w:eastAsia="zh-CN" w:bidi="ar-SA"/>
        </w:rPr>
      </w:pPr>
      <w:r>
        <w:rPr>
          <w:rFonts w:ascii="Calibri" w:hAnsi="Calibri" w:eastAsia="宋体" w:cs="Times New Roman"/>
          <w:sz w:val="21"/>
          <w:szCs w:val="22"/>
        </w:rPr>
        <mc:AlternateContent>
          <mc:Choice Requires="wps">
            <w:drawing>
              <wp:anchor distT="0" distB="0" distL="114300" distR="114300" simplePos="0" relativeHeight="251658240" behindDoc="0" locked="0" layoutInCell="1" allowOverlap="1">
                <wp:simplePos x="0" y="0"/>
                <wp:positionH relativeFrom="column">
                  <wp:posOffset>8255</wp:posOffset>
                </wp:positionH>
                <wp:positionV relativeFrom="paragraph">
                  <wp:posOffset>324485</wp:posOffset>
                </wp:positionV>
                <wp:extent cx="5629275" cy="0"/>
                <wp:effectExtent l="0" t="0" r="0" b="0"/>
                <wp:wrapNone/>
                <wp:docPr id="23" name="直接连接符 23"/>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65pt;margin-top:25.55pt;height:0pt;width:443.25pt;z-index:251658240;mso-width-relative:page;mso-height-relative:page;" filled="f" stroked="t" coordsize="21600,21600" o:gfxdata="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EQSd7UAAAABwEAAA8AAAAAAAAAAQAgAAAAIgAAAGRy&#10;cy9kb3ducmV2LnhtbFBLAQIUABQAAAAIAIdO4kC70pM90AEAAGwDAAAOAAAAAAAAAAEAIAAAACMB&#10;AABkcnMvZTJvRG9jLnhtbFBLBQYAAAAABgAGAFkBAABlBQAAAAA=&#10;">
                <v:fill on="f" focussize="0,0"/>
                <v:stroke color="#000000" joinstyle="round"/>
                <v:imagedata o:title=""/>
                <o:lock v:ext="edit" aspectratio="f"/>
              </v:line>
            </w:pict>
          </mc:Fallback>
        </mc:AlternateContent>
      </w:r>
      <w:r>
        <w:rPr>
          <w:rFonts w:ascii="Calibri" w:hAnsi="Calibri" w:eastAsia="宋体" w:cs="Times New Roman"/>
          <w:sz w:val="21"/>
          <w:szCs w:val="22"/>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635</wp:posOffset>
                </wp:positionV>
                <wp:extent cx="5629275" cy="0"/>
                <wp:effectExtent l="0" t="0" r="0" b="0"/>
                <wp:wrapNone/>
                <wp:docPr id="24" name="直接连接符 24"/>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65pt;margin-top:0.05pt;height:0pt;width:443.25pt;z-index:251659264;mso-width-relative:page;mso-height-relative:page;" filled="f" stroked="t" coordsize="21600,21600" o:gfxdata="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FuPo9AAAAADAQAADwAAAAAAAAABACAAAAAiAAAAZHJzL2Rv&#10;d25yZXYueG1sUEsBAhQAFAAAAAgAh07iQCsgC4TQAQAAbAMAAA4AAAAAAAAAAQAgAAAAHwEAAGRy&#10;cy9lMm9Eb2MueG1sUEsFBgAAAAAGAAYAWQEAAGEFAAAAAA==&#10;">
                <v:fill on="f" focussize="0,0"/>
                <v:stroke color="#000000" joinstyle="round"/>
                <v:imagedata o:title=""/>
                <o:lock v:ext="edit" aspectratio="f"/>
              </v:line>
            </w:pict>
          </mc:Fallback>
        </mc:AlternateContent>
      </w:r>
      <w:r>
        <w:rPr>
          <w:rFonts w:ascii="Calibri" w:hAnsi="Calibri" w:eastAsia="方正仿宋简体" w:cs="Times New Roman"/>
          <w:sz w:val="21"/>
          <w:szCs w:val="22"/>
        </w:rPr>
        <w:t xml:space="preserve">  </w:t>
      </w:r>
      <w:r>
        <w:rPr>
          <w:rFonts w:ascii="Calibri" w:hAnsi="Calibri" w:eastAsia="方正仿宋简体" w:cs="Times New Roman"/>
          <w:sz w:val="28"/>
          <w:szCs w:val="22"/>
        </w:rPr>
        <w:t xml:space="preserve">平远县人民政府办公室                    </w:t>
      </w:r>
      <w:r>
        <w:rPr>
          <w:rFonts w:ascii="Times New Roman" w:hAnsi="Times New Roman" w:eastAsia="方正仿宋简体" w:cs="Times New Roman"/>
          <w:sz w:val="28"/>
          <w:szCs w:val="22"/>
        </w:rPr>
        <w:t>202</w:t>
      </w:r>
      <w:r>
        <w:rPr>
          <w:rFonts w:hint="eastAsia" w:ascii="Times New Roman" w:hAnsi="Times New Roman" w:eastAsia="方正仿宋简体" w:cs="Times New Roman"/>
          <w:sz w:val="28"/>
          <w:szCs w:val="22"/>
          <w:lang w:val="en-US" w:eastAsia="zh-CN"/>
        </w:rPr>
        <w:t>3</w:t>
      </w:r>
      <w:r>
        <w:rPr>
          <w:rFonts w:ascii="Times New Roman" w:hAnsi="Times New Roman" w:eastAsia="方正仿宋简体" w:cs="Times New Roman"/>
          <w:sz w:val="28"/>
          <w:szCs w:val="22"/>
        </w:rPr>
        <w:t>年</w:t>
      </w:r>
      <w:r>
        <w:rPr>
          <w:rFonts w:hint="eastAsia" w:ascii="Times New Roman" w:hAnsi="Times New Roman" w:eastAsia="方正仿宋简体" w:cs="Times New Roman"/>
          <w:sz w:val="28"/>
          <w:szCs w:val="22"/>
          <w:lang w:val="en-US" w:eastAsia="zh-CN"/>
        </w:rPr>
        <w:t>4</w:t>
      </w:r>
      <w:r>
        <w:rPr>
          <w:rFonts w:ascii="Times New Roman" w:hAnsi="Times New Roman" w:eastAsia="方正仿宋简体" w:cs="Times New Roman"/>
          <w:sz w:val="28"/>
          <w:szCs w:val="22"/>
        </w:rPr>
        <w:t>月</w:t>
      </w:r>
      <w:r>
        <w:rPr>
          <w:rFonts w:hint="eastAsia" w:ascii="Times New Roman" w:hAnsi="Times New Roman" w:eastAsia="方正仿宋简体" w:cs="Times New Roman"/>
          <w:sz w:val="28"/>
          <w:szCs w:val="22"/>
          <w:lang w:val="en-US" w:eastAsia="zh-CN"/>
        </w:rPr>
        <w:t>20</w:t>
      </w:r>
      <w:r>
        <w:rPr>
          <w:rFonts w:ascii="Times New Roman" w:hAnsi="Times New Roman" w:eastAsia="方正仿宋简体" w:cs="Times New Roman"/>
          <w:sz w:val="28"/>
          <w:szCs w:val="22"/>
        </w:rPr>
        <w:t xml:space="preserve">日印发 </w:t>
      </w:r>
      <w:r>
        <w:rPr>
          <w:rFonts w:ascii="Times New Roman" w:hAnsi="Times New Roman" w:eastAsia="仿宋_GB2312" w:cs="Times New Roman"/>
          <w:sz w:val="28"/>
          <w:szCs w:val="22"/>
        </w:rPr>
        <w:t xml:space="preserve"> </w:t>
      </w:r>
    </w:p>
    <w:sectPr>
      <w:footerReference r:id="rId11" w:type="default"/>
      <w:pgSz w:w="11906" w:h="16838"/>
      <w:pgMar w:top="2098" w:right="1531" w:bottom="1984" w:left="1531" w:header="851" w:footer="794" w:gutter="0"/>
      <w:pgBorders>
        <w:top w:val="none" w:color="auto" w:sz="0" w:space="0"/>
        <w:left w:val="none" w:color="auto" w:sz="0" w:space="0"/>
        <w:bottom w:val="none" w:color="auto" w:sz="0" w:space="0"/>
        <w:right w:val="none" w:color="auto" w:sz="0" w:space="0"/>
      </w:pgBorders>
      <w:pgNumType w:fmt="decimal"/>
      <w:cols w:space="0" w:num="1"/>
      <w:rtlGutter w:val="0"/>
      <w:docGrid w:type="linesAndChars" w:linePitch="435" w:charSpace="18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Plotter">
    <w:altName w:val="Segoe Print"/>
    <w:panose1 w:val="00000000000000000000"/>
    <w:charset w:val="00"/>
    <w:family w:val="moder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方正仿宋简体">
    <w:altName w:val="微软雅黑"/>
    <w:panose1 w:val="03000509000000000000"/>
    <w:charset w:val="00"/>
    <w:family w:val="auto"/>
    <w:pitch w:val="default"/>
    <w:sig w:usb0="00000000" w:usb1="00000000" w:usb2="00000000" w:usb3="00000000" w:csb0="00040000" w:csb1="00000000"/>
  </w:font>
  <w:font w:name="方正小标宋简体">
    <w:altName w:val="微软雅黑"/>
    <w:panose1 w:val="02000000000000000000"/>
    <w:charset w:val="86"/>
    <w:family w:val="auto"/>
    <w:pitch w:val="default"/>
    <w:sig w:usb0="00000000" w:usb1="00000000" w:usb2="00000012" w:usb3="00000000" w:csb0="00040001" w:csb1="00000000"/>
  </w:font>
  <w:font w:name="Nimbus Roman No9 L">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DejaVu Math TeX Gyre">
    <w:altName w:val="Corbel"/>
    <w:panose1 w:val="02000503000000000000"/>
    <w:charset w:val="00"/>
    <w:family w:val="auto"/>
    <w:pitch w:val="default"/>
    <w:sig w:usb0="00000000" w:usb1="00000000" w:usb2="02000000" w:usb3="00000000" w:csb0="60000193" w:csb1="0DD40000"/>
  </w:font>
  <w:font w:name="方正黑体简体">
    <w:altName w:val="微软雅黑"/>
    <w:panose1 w:val="03000509000000000000"/>
    <w:charset w:val="00"/>
    <w:family w:val="auto"/>
    <w:pitch w:val="default"/>
    <w:sig w:usb0="00000000" w:usb1="00000000" w:usb2="00000000" w:usb3="00000000" w:csb0="00040000" w:csb1="00000000"/>
  </w:font>
  <w:font w:name="方正书宋_GBK">
    <w:altName w:val="微软雅黑"/>
    <w:panose1 w:val="02000000000000000000"/>
    <w:charset w:val="86"/>
    <w:family w:val="auto"/>
    <w:pitch w:val="default"/>
    <w:sig w:usb0="00000000" w:usb1="00000000" w:usb2="00000000" w:usb3="00000000" w:csb0="00040000" w:csb1="00000000"/>
  </w:font>
  <w:font w:name="DejaVu Sans">
    <w:altName w:val="Segoe Print"/>
    <w:panose1 w:val="020B0603030804020204"/>
    <w:charset w:val="00"/>
    <w:family w:val="auto"/>
    <w:pitch w:val="default"/>
    <w:sig w:usb0="00000000" w:usb1="00000000" w:usb2="0A246029" w:usb3="0400200C" w:csb0="600001FF" w:csb1="DFFF0000"/>
  </w:font>
  <w:font w:name="Liberation Serif">
    <w:altName w:val="Times New Roman"/>
    <w:panose1 w:val="02020603050405020304"/>
    <w:charset w:val="00"/>
    <w:family w:val="auto"/>
    <w:pitch w:val="default"/>
    <w:sig w:usb0="00000000" w:usb1="00000000" w:usb2="00000000" w:usb3="00000000" w:csb0="6000009F" w:csb1="DFD70000"/>
  </w:font>
  <w:font w:name="汉仪叶叶相思体简">
    <w:altName w:val="宋体"/>
    <w:panose1 w:val="02010509060101010101"/>
    <w:charset w:val="86"/>
    <w:family w:val="auto"/>
    <w:pitch w:val="default"/>
    <w:sig w:usb0="00000000" w:usb1="00000000" w:usb2="00000000" w:usb3="00000000" w:csb0="00040000" w:csb1="00000000"/>
  </w:font>
  <w:font w:name="方正宋体S-超大字符集">
    <w:altName w:val="宋体"/>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 w:name="Corbel">
    <w:panose1 w:val="020B0503020204020204"/>
    <w:charset w:val="00"/>
    <w:family w:val="auto"/>
    <w:pitch w:val="default"/>
    <w:sig w:usb0="A00002EF" w:usb1="4000A44B"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rPr>
                              <w:rFonts w:hint="eastAsia" w:ascii="方正仿宋_GBK" w:hAnsi="方正仿宋_GBK" w:eastAsia="方正仿宋_GBK" w:cs="方正仿宋_GBK"/>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3"/>
                      <w:ind w:left="0" w:leftChars="0" w:firstLine="0" w:firstLineChars="0"/>
                      <w:rPr>
                        <w:rFonts w:hint="eastAsia" w:ascii="方正仿宋_GBK" w:hAnsi="方正仿宋_GBK" w:eastAsia="方正仿宋_GBK" w:cs="方正仿宋_GBK"/>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OYf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3o0UxhR5evXy7ffly+fybwgaDW+gXydhaZoXttOiSPfg9nnLur&#10;nIpfTEQQB9b5Sq/oAuHx0nw2n+cIccTGH+BnT9et8+GNMIpEo6AO+0u0stPWhz51TInVtNk0UqYd&#10;Sk3agt68fJWnC9cIwKVGjThE32y0Qrfvhsn2pjxjMGd6bXjLNw2Kb5kPj8xBDGgYAg8POCppUMQM&#10;FiW1cZ/+5o/52BGilLQQV0E11E+JfKuxOwCG0XCjsR8NfVR3Bmqd4uFYn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ss5h/A4CAAAJBAAADgAAAAAAAAABACAAAAAf&#10;AQAAZHJzL2Uyb0RvYy54bWxQSwUGAAAAAAYABgBZAQAAnwUAAAAA&#10;">
              <v:fill on="f" focussize="0,0"/>
              <v:stroke on="f" weight="0.5pt"/>
              <v:imagedata o:title=""/>
              <o:lock v:ext="edit" aspectratio="f"/>
              <v:textbox inset="0mm,0mm,0mm,0mm" style="mso-fit-shape-to-text:t;">
                <w:txbxContent>
                  <w:p>
                    <w:pPr>
                      <w:pStyle w:val="13"/>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firstLine="560"/>
      <w:rPr>
        <w:sz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pPr>
      <w:pStyle w:val="8"/>
      <w:spacing w:line="14" w:lineRule="auto"/>
      <w:ind w:firstLine="560"/>
      <w:rPr>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firstLine="560"/>
      <w:rPr>
        <w:sz w:val="28"/>
      </w:rPr>
    </w:pPr>
  </w:p>
  <w:p>
    <w:pPr>
      <w:pStyle w:val="8"/>
      <w:spacing w:line="14" w:lineRule="auto"/>
      <w:ind w:firstLine="560"/>
      <w:rPr>
        <w:sz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49752018">
    <w:nsid w:val="566975D2"/>
    <w:multiLevelType w:val="singleLevel"/>
    <w:tmpl w:val="566975D2"/>
    <w:lvl w:ilvl="0" w:tentative="1">
      <w:start w:val="1"/>
      <w:numFmt w:val="decimal"/>
      <w:suff w:val="nothing"/>
      <w:lvlText w:val="（%1）"/>
      <w:lvlJc w:val="left"/>
    </w:lvl>
  </w:abstractNum>
  <w:num w:numId="1">
    <w:abstractNumId w:val="14497520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50"/>
  <w:drawingGridVerticalSpacing w:val="156"/>
  <w:displayHorizontalDrawingGridEvery w:val="2"/>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zM2EyOWI2YmU0ZGYwZDU1ZTdmZjlkMDE2M2FhMjUifQ=="/>
  </w:docVars>
  <w:rsids>
    <w:rsidRoot w:val="00172A27"/>
    <w:rsid w:val="000010C2"/>
    <w:rsid w:val="00001382"/>
    <w:rsid w:val="00003422"/>
    <w:rsid w:val="00005830"/>
    <w:rsid w:val="000108B0"/>
    <w:rsid w:val="00011140"/>
    <w:rsid w:val="0001714B"/>
    <w:rsid w:val="0001761C"/>
    <w:rsid w:val="000247AC"/>
    <w:rsid w:val="000248A4"/>
    <w:rsid w:val="00032B76"/>
    <w:rsid w:val="00036D66"/>
    <w:rsid w:val="00037D72"/>
    <w:rsid w:val="00045B43"/>
    <w:rsid w:val="00056607"/>
    <w:rsid w:val="00073D4C"/>
    <w:rsid w:val="000762A2"/>
    <w:rsid w:val="000834EB"/>
    <w:rsid w:val="00090D0A"/>
    <w:rsid w:val="00093645"/>
    <w:rsid w:val="000B060A"/>
    <w:rsid w:val="000B0E05"/>
    <w:rsid w:val="000B4926"/>
    <w:rsid w:val="000B5D7A"/>
    <w:rsid w:val="000C024B"/>
    <w:rsid w:val="000C02EF"/>
    <w:rsid w:val="000C2235"/>
    <w:rsid w:val="000C25EC"/>
    <w:rsid w:val="000C710D"/>
    <w:rsid w:val="000C7642"/>
    <w:rsid w:val="000D7738"/>
    <w:rsid w:val="000F3E4A"/>
    <w:rsid w:val="0010062E"/>
    <w:rsid w:val="0010181C"/>
    <w:rsid w:val="00101F94"/>
    <w:rsid w:val="00102E8B"/>
    <w:rsid w:val="00104CEF"/>
    <w:rsid w:val="001050DA"/>
    <w:rsid w:val="00107E8B"/>
    <w:rsid w:val="001268A6"/>
    <w:rsid w:val="00127EE4"/>
    <w:rsid w:val="001314D8"/>
    <w:rsid w:val="001374C1"/>
    <w:rsid w:val="00137F25"/>
    <w:rsid w:val="00144621"/>
    <w:rsid w:val="00151790"/>
    <w:rsid w:val="00161340"/>
    <w:rsid w:val="00161990"/>
    <w:rsid w:val="0016447C"/>
    <w:rsid w:val="00180DC0"/>
    <w:rsid w:val="00182B20"/>
    <w:rsid w:val="001855C3"/>
    <w:rsid w:val="00192E44"/>
    <w:rsid w:val="00195B09"/>
    <w:rsid w:val="001A1126"/>
    <w:rsid w:val="001A11A2"/>
    <w:rsid w:val="001A1535"/>
    <w:rsid w:val="001B385E"/>
    <w:rsid w:val="001C515C"/>
    <w:rsid w:val="001C6371"/>
    <w:rsid w:val="001C7621"/>
    <w:rsid w:val="001D3F6D"/>
    <w:rsid w:val="001D4761"/>
    <w:rsid w:val="001D5650"/>
    <w:rsid w:val="001D7B12"/>
    <w:rsid w:val="001E5B73"/>
    <w:rsid w:val="001E71D1"/>
    <w:rsid w:val="001F1182"/>
    <w:rsid w:val="001F38E8"/>
    <w:rsid w:val="002021ED"/>
    <w:rsid w:val="002068EA"/>
    <w:rsid w:val="00210508"/>
    <w:rsid w:val="00212D35"/>
    <w:rsid w:val="0022050F"/>
    <w:rsid w:val="002205A7"/>
    <w:rsid w:val="00222B8A"/>
    <w:rsid w:val="0023171A"/>
    <w:rsid w:val="002326B6"/>
    <w:rsid w:val="00232FC7"/>
    <w:rsid w:val="002402C2"/>
    <w:rsid w:val="00243F9A"/>
    <w:rsid w:val="0025011E"/>
    <w:rsid w:val="002517D3"/>
    <w:rsid w:val="002534E7"/>
    <w:rsid w:val="00261C0E"/>
    <w:rsid w:val="002626CA"/>
    <w:rsid w:val="00265C53"/>
    <w:rsid w:val="00267C90"/>
    <w:rsid w:val="00270326"/>
    <w:rsid w:val="00277BCC"/>
    <w:rsid w:val="00284D78"/>
    <w:rsid w:val="00291A1B"/>
    <w:rsid w:val="0029625E"/>
    <w:rsid w:val="002A4D6E"/>
    <w:rsid w:val="002C03A7"/>
    <w:rsid w:val="002E0B8F"/>
    <w:rsid w:val="002E29FA"/>
    <w:rsid w:val="002E2D23"/>
    <w:rsid w:val="002E3D74"/>
    <w:rsid w:val="002E5C9A"/>
    <w:rsid w:val="002E5DF4"/>
    <w:rsid w:val="003006B8"/>
    <w:rsid w:val="00312E0B"/>
    <w:rsid w:val="003150FA"/>
    <w:rsid w:val="00321813"/>
    <w:rsid w:val="003228E7"/>
    <w:rsid w:val="0033038B"/>
    <w:rsid w:val="00330621"/>
    <w:rsid w:val="00337725"/>
    <w:rsid w:val="00337CB2"/>
    <w:rsid w:val="0034278D"/>
    <w:rsid w:val="00344051"/>
    <w:rsid w:val="00344132"/>
    <w:rsid w:val="003460D0"/>
    <w:rsid w:val="00347653"/>
    <w:rsid w:val="003528B2"/>
    <w:rsid w:val="00353DB9"/>
    <w:rsid w:val="00355A83"/>
    <w:rsid w:val="003570D0"/>
    <w:rsid w:val="00357662"/>
    <w:rsid w:val="003747A8"/>
    <w:rsid w:val="00395140"/>
    <w:rsid w:val="00397032"/>
    <w:rsid w:val="003A6B9C"/>
    <w:rsid w:val="003B21F4"/>
    <w:rsid w:val="003B66B6"/>
    <w:rsid w:val="003C1890"/>
    <w:rsid w:val="003D2537"/>
    <w:rsid w:val="003D2CD5"/>
    <w:rsid w:val="003E4077"/>
    <w:rsid w:val="003F14D5"/>
    <w:rsid w:val="003F542F"/>
    <w:rsid w:val="003F5E20"/>
    <w:rsid w:val="003F74CA"/>
    <w:rsid w:val="00402451"/>
    <w:rsid w:val="0041076E"/>
    <w:rsid w:val="00411B59"/>
    <w:rsid w:val="00413327"/>
    <w:rsid w:val="004203F2"/>
    <w:rsid w:val="00422804"/>
    <w:rsid w:val="00427239"/>
    <w:rsid w:val="00427CC6"/>
    <w:rsid w:val="0043479F"/>
    <w:rsid w:val="00435E91"/>
    <w:rsid w:val="00443133"/>
    <w:rsid w:val="00462FFE"/>
    <w:rsid w:val="004673F1"/>
    <w:rsid w:val="00472DEC"/>
    <w:rsid w:val="00480F3C"/>
    <w:rsid w:val="004810FC"/>
    <w:rsid w:val="00484A9B"/>
    <w:rsid w:val="00486382"/>
    <w:rsid w:val="00493F17"/>
    <w:rsid w:val="00496FAD"/>
    <w:rsid w:val="004A1010"/>
    <w:rsid w:val="004A1977"/>
    <w:rsid w:val="004A446A"/>
    <w:rsid w:val="004B395F"/>
    <w:rsid w:val="004C328E"/>
    <w:rsid w:val="004C4437"/>
    <w:rsid w:val="004C4BA8"/>
    <w:rsid w:val="004C7971"/>
    <w:rsid w:val="004D45B6"/>
    <w:rsid w:val="004E11BE"/>
    <w:rsid w:val="004E17A0"/>
    <w:rsid w:val="004E5EAC"/>
    <w:rsid w:val="004F1264"/>
    <w:rsid w:val="004F44F1"/>
    <w:rsid w:val="00503A0F"/>
    <w:rsid w:val="00507DF8"/>
    <w:rsid w:val="00513A30"/>
    <w:rsid w:val="00515CCA"/>
    <w:rsid w:val="00522EAC"/>
    <w:rsid w:val="00523D2C"/>
    <w:rsid w:val="005253F8"/>
    <w:rsid w:val="0052657B"/>
    <w:rsid w:val="00534DA6"/>
    <w:rsid w:val="00557344"/>
    <w:rsid w:val="00557BD7"/>
    <w:rsid w:val="00561E6B"/>
    <w:rsid w:val="0056500B"/>
    <w:rsid w:val="00567750"/>
    <w:rsid w:val="005704E3"/>
    <w:rsid w:val="0057171E"/>
    <w:rsid w:val="0057642F"/>
    <w:rsid w:val="00576DC5"/>
    <w:rsid w:val="0058326D"/>
    <w:rsid w:val="005853BB"/>
    <w:rsid w:val="00586806"/>
    <w:rsid w:val="00591FA7"/>
    <w:rsid w:val="0059323A"/>
    <w:rsid w:val="00593FF9"/>
    <w:rsid w:val="005A0E99"/>
    <w:rsid w:val="005B751B"/>
    <w:rsid w:val="005C4870"/>
    <w:rsid w:val="005C607F"/>
    <w:rsid w:val="005C6EBF"/>
    <w:rsid w:val="005C771B"/>
    <w:rsid w:val="005C7F4B"/>
    <w:rsid w:val="005D572C"/>
    <w:rsid w:val="005D7CCD"/>
    <w:rsid w:val="005E53DD"/>
    <w:rsid w:val="005E69C0"/>
    <w:rsid w:val="005F0778"/>
    <w:rsid w:val="005F14DA"/>
    <w:rsid w:val="005F423C"/>
    <w:rsid w:val="005F446F"/>
    <w:rsid w:val="005F533C"/>
    <w:rsid w:val="0060540F"/>
    <w:rsid w:val="00607B5E"/>
    <w:rsid w:val="006126FB"/>
    <w:rsid w:val="00612B6A"/>
    <w:rsid w:val="00616172"/>
    <w:rsid w:val="00616251"/>
    <w:rsid w:val="00617914"/>
    <w:rsid w:val="006202AD"/>
    <w:rsid w:val="00630623"/>
    <w:rsid w:val="006310F3"/>
    <w:rsid w:val="00631120"/>
    <w:rsid w:val="00641274"/>
    <w:rsid w:val="00642989"/>
    <w:rsid w:val="00650CAB"/>
    <w:rsid w:val="00656DD2"/>
    <w:rsid w:val="0066507A"/>
    <w:rsid w:val="00665660"/>
    <w:rsid w:val="0066731D"/>
    <w:rsid w:val="00674923"/>
    <w:rsid w:val="0067600D"/>
    <w:rsid w:val="00680C2B"/>
    <w:rsid w:val="00690E31"/>
    <w:rsid w:val="00694706"/>
    <w:rsid w:val="00694FEF"/>
    <w:rsid w:val="006965DB"/>
    <w:rsid w:val="006B3BF3"/>
    <w:rsid w:val="006B456C"/>
    <w:rsid w:val="006C028D"/>
    <w:rsid w:val="006D1ED6"/>
    <w:rsid w:val="006D4C21"/>
    <w:rsid w:val="006D7B49"/>
    <w:rsid w:val="006F2405"/>
    <w:rsid w:val="006F400A"/>
    <w:rsid w:val="006F4F9E"/>
    <w:rsid w:val="006F55AC"/>
    <w:rsid w:val="007129CB"/>
    <w:rsid w:val="00712F9F"/>
    <w:rsid w:val="00716F97"/>
    <w:rsid w:val="007417A3"/>
    <w:rsid w:val="00742F9C"/>
    <w:rsid w:val="00747499"/>
    <w:rsid w:val="00751AAA"/>
    <w:rsid w:val="00755149"/>
    <w:rsid w:val="0076054F"/>
    <w:rsid w:val="00762455"/>
    <w:rsid w:val="0076456F"/>
    <w:rsid w:val="00773BFE"/>
    <w:rsid w:val="00773FB2"/>
    <w:rsid w:val="00774DD5"/>
    <w:rsid w:val="00775511"/>
    <w:rsid w:val="00775C44"/>
    <w:rsid w:val="00785BC0"/>
    <w:rsid w:val="00794965"/>
    <w:rsid w:val="007957A5"/>
    <w:rsid w:val="007965EB"/>
    <w:rsid w:val="007B2638"/>
    <w:rsid w:val="007C0B36"/>
    <w:rsid w:val="007C2605"/>
    <w:rsid w:val="007C4F67"/>
    <w:rsid w:val="007C5669"/>
    <w:rsid w:val="007C7C88"/>
    <w:rsid w:val="007D0143"/>
    <w:rsid w:val="007D234D"/>
    <w:rsid w:val="007E1251"/>
    <w:rsid w:val="007E3E08"/>
    <w:rsid w:val="007F1DB0"/>
    <w:rsid w:val="007F3F29"/>
    <w:rsid w:val="007F60FE"/>
    <w:rsid w:val="007F66D2"/>
    <w:rsid w:val="00811D32"/>
    <w:rsid w:val="00816EF4"/>
    <w:rsid w:val="00821ACD"/>
    <w:rsid w:val="00824CE8"/>
    <w:rsid w:val="008255C9"/>
    <w:rsid w:val="008328EC"/>
    <w:rsid w:val="008330AD"/>
    <w:rsid w:val="008336C2"/>
    <w:rsid w:val="008336CF"/>
    <w:rsid w:val="00845654"/>
    <w:rsid w:val="00846F9F"/>
    <w:rsid w:val="00854069"/>
    <w:rsid w:val="00855F05"/>
    <w:rsid w:val="00856CB5"/>
    <w:rsid w:val="0086365F"/>
    <w:rsid w:val="00866F9D"/>
    <w:rsid w:val="00867E47"/>
    <w:rsid w:val="0087171E"/>
    <w:rsid w:val="00873202"/>
    <w:rsid w:val="0088163A"/>
    <w:rsid w:val="00882193"/>
    <w:rsid w:val="00886343"/>
    <w:rsid w:val="008909C1"/>
    <w:rsid w:val="00890A95"/>
    <w:rsid w:val="0089557A"/>
    <w:rsid w:val="008A22E5"/>
    <w:rsid w:val="008B17E6"/>
    <w:rsid w:val="008B1D57"/>
    <w:rsid w:val="008B353B"/>
    <w:rsid w:val="008C3B12"/>
    <w:rsid w:val="008C5E59"/>
    <w:rsid w:val="008C6FEE"/>
    <w:rsid w:val="008D315E"/>
    <w:rsid w:val="008D596D"/>
    <w:rsid w:val="008D6132"/>
    <w:rsid w:val="008E0CD6"/>
    <w:rsid w:val="008F2389"/>
    <w:rsid w:val="008F3E2F"/>
    <w:rsid w:val="00911579"/>
    <w:rsid w:val="009119F6"/>
    <w:rsid w:val="00916512"/>
    <w:rsid w:val="00920205"/>
    <w:rsid w:val="00921B12"/>
    <w:rsid w:val="009227CF"/>
    <w:rsid w:val="00925EEC"/>
    <w:rsid w:val="0093537A"/>
    <w:rsid w:val="00935BFE"/>
    <w:rsid w:val="00935E35"/>
    <w:rsid w:val="00936736"/>
    <w:rsid w:val="0094100D"/>
    <w:rsid w:val="00953721"/>
    <w:rsid w:val="0095560C"/>
    <w:rsid w:val="00960255"/>
    <w:rsid w:val="00962129"/>
    <w:rsid w:val="009701D0"/>
    <w:rsid w:val="00975774"/>
    <w:rsid w:val="00981844"/>
    <w:rsid w:val="0099408E"/>
    <w:rsid w:val="00994679"/>
    <w:rsid w:val="009A1C78"/>
    <w:rsid w:val="009B0704"/>
    <w:rsid w:val="009B112A"/>
    <w:rsid w:val="009B31F5"/>
    <w:rsid w:val="009B5383"/>
    <w:rsid w:val="009C0DC8"/>
    <w:rsid w:val="009C102A"/>
    <w:rsid w:val="009C2486"/>
    <w:rsid w:val="009D4B06"/>
    <w:rsid w:val="009E032F"/>
    <w:rsid w:val="009F4E65"/>
    <w:rsid w:val="009F50B8"/>
    <w:rsid w:val="009F7BA1"/>
    <w:rsid w:val="00A032EE"/>
    <w:rsid w:val="00A0465E"/>
    <w:rsid w:val="00A12CD3"/>
    <w:rsid w:val="00A16293"/>
    <w:rsid w:val="00A2374D"/>
    <w:rsid w:val="00A30724"/>
    <w:rsid w:val="00A336AF"/>
    <w:rsid w:val="00A3590D"/>
    <w:rsid w:val="00A519EF"/>
    <w:rsid w:val="00A54C29"/>
    <w:rsid w:val="00A61DA9"/>
    <w:rsid w:val="00A64070"/>
    <w:rsid w:val="00A66836"/>
    <w:rsid w:val="00A70D0D"/>
    <w:rsid w:val="00A713BD"/>
    <w:rsid w:val="00A72D22"/>
    <w:rsid w:val="00A76F22"/>
    <w:rsid w:val="00A83245"/>
    <w:rsid w:val="00A94C10"/>
    <w:rsid w:val="00A95990"/>
    <w:rsid w:val="00AA0974"/>
    <w:rsid w:val="00AA2EEB"/>
    <w:rsid w:val="00AB02CE"/>
    <w:rsid w:val="00AB38A7"/>
    <w:rsid w:val="00AB7F3F"/>
    <w:rsid w:val="00AD06A9"/>
    <w:rsid w:val="00AE5D28"/>
    <w:rsid w:val="00AF30E7"/>
    <w:rsid w:val="00AF320E"/>
    <w:rsid w:val="00B02259"/>
    <w:rsid w:val="00B11C42"/>
    <w:rsid w:val="00B12B7C"/>
    <w:rsid w:val="00B137FF"/>
    <w:rsid w:val="00B14599"/>
    <w:rsid w:val="00B14772"/>
    <w:rsid w:val="00B14BFB"/>
    <w:rsid w:val="00B241C6"/>
    <w:rsid w:val="00B272C9"/>
    <w:rsid w:val="00B27FC1"/>
    <w:rsid w:val="00B32FAE"/>
    <w:rsid w:val="00B45BC3"/>
    <w:rsid w:val="00B5443F"/>
    <w:rsid w:val="00B631DB"/>
    <w:rsid w:val="00B64153"/>
    <w:rsid w:val="00B744DC"/>
    <w:rsid w:val="00B7505D"/>
    <w:rsid w:val="00B767DF"/>
    <w:rsid w:val="00B82D69"/>
    <w:rsid w:val="00B8401D"/>
    <w:rsid w:val="00B84D9E"/>
    <w:rsid w:val="00B84DD4"/>
    <w:rsid w:val="00B858EC"/>
    <w:rsid w:val="00B95B6E"/>
    <w:rsid w:val="00BA15FC"/>
    <w:rsid w:val="00BA56C5"/>
    <w:rsid w:val="00BA57D0"/>
    <w:rsid w:val="00BB6969"/>
    <w:rsid w:val="00BB72E5"/>
    <w:rsid w:val="00BC1F78"/>
    <w:rsid w:val="00BD58FD"/>
    <w:rsid w:val="00BD630D"/>
    <w:rsid w:val="00BE1D3F"/>
    <w:rsid w:val="00BF2A13"/>
    <w:rsid w:val="00C220C0"/>
    <w:rsid w:val="00C22D86"/>
    <w:rsid w:val="00C25CC1"/>
    <w:rsid w:val="00C46A36"/>
    <w:rsid w:val="00C46E14"/>
    <w:rsid w:val="00C47162"/>
    <w:rsid w:val="00C57735"/>
    <w:rsid w:val="00C57A29"/>
    <w:rsid w:val="00C70645"/>
    <w:rsid w:val="00C71300"/>
    <w:rsid w:val="00C75E46"/>
    <w:rsid w:val="00C76674"/>
    <w:rsid w:val="00C83479"/>
    <w:rsid w:val="00C906E5"/>
    <w:rsid w:val="00C929FF"/>
    <w:rsid w:val="00CA2EC3"/>
    <w:rsid w:val="00CA4978"/>
    <w:rsid w:val="00CA52D3"/>
    <w:rsid w:val="00CB0F3E"/>
    <w:rsid w:val="00CB262D"/>
    <w:rsid w:val="00CC23B1"/>
    <w:rsid w:val="00CC320C"/>
    <w:rsid w:val="00CC3B88"/>
    <w:rsid w:val="00CC6E3A"/>
    <w:rsid w:val="00CC7F68"/>
    <w:rsid w:val="00CD56B1"/>
    <w:rsid w:val="00CE060B"/>
    <w:rsid w:val="00CF3D31"/>
    <w:rsid w:val="00CF69AA"/>
    <w:rsid w:val="00D029AB"/>
    <w:rsid w:val="00D07753"/>
    <w:rsid w:val="00D0796C"/>
    <w:rsid w:val="00D179CA"/>
    <w:rsid w:val="00D3224D"/>
    <w:rsid w:val="00D326A5"/>
    <w:rsid w:val="00D40A64"/>
    <w:rsid w:val="00D419B3"/>
    <w:rsid w:val="00D423AC"/>
    <w:rsid w:val="00D55972"/>
    <w:rsid w:val="00D57593"/>
    <w:rsid w:val="00D61A39"/>
    <w:rsid w:val="00D63F59"/>
    <w:rsid w:val="00D64E1F"/>
    <w:rsid w:val="00D73966"/>
    <w:rsid w:val="00D76729"/>
    <w:rsid w:val="00D81088"/>
    <w:rsid w:val="00D861E8"/>
    <w:rsid w:val="00D87703"/>
    <w:rsid w:val="00D93D45"/>
    <w:rsid w:val="00D9521B"/>
    <w:rsid w:val="00DC5A4D"/>
    <w:rsid w:val="00DC7D9C"/>
    <w:rsid w:val="00DD1C3A"/>
    <w:rsid w:val="00DD2EA0"/>
    <w:rsid w:val="00DD3ABD"/>
    <w:rsid w:val="00DD6B57"/>
    <w:rsid w:val="00DE3875"/>
    <w:rsid w:val="00DE55B4"/>
    <w:rsid w:val="00DE60CE"/>
    <w:rsid w:val="00DE6BEB"/>
    <w:rsid w:val="00DF24A5"/>
    <w:rsid w:val="00DF3CA6"/>
    <w:rsid w:val="00E140B7"/>
    <w:rsid w:val="00E1563D"/>
    <w:rsid w:val="00E16C44"/>
    <w:rsid w:val="00E2099B"/>
    <w:rsid w:val="00E20C71"/>
    <w:rsid w:val="00E21072"/>
    <w:rsid w:val="00E2301E"/>
    <w:rsid w:val="00E26413"/>
    <w:rsid w:val="00E46A3A"/>
    <w:rsid w:val="00E5005C"/>
    <w:rsid w:val="00E51848"/>
    <w:rsid w:val="00E52215"/>
    <w:rsid w:val="00E569FD"/>
    <w:rsid w:val="00E7143F"/>
    <w:rsid w:val="00E820D2"/>
    <w:rsid w:val="00EA239F"/>
    <w:rsid w:val="00EA6062"/>
    <w:rsid w:val="00EA794D"/>
    <w:rsid w:val="00EB64AC"/>
    <w:rsid w:val="00EB7238"/>
    <w:rsid w:val="00EC5981"/>
    <w:rsid w:val="00EC6092"/>
    <w:rsid w:val="00EE01B1"/>
    <w:rsid w:val="00EE2509"/>
    <w:rsid w:val="00EE4AA9"/>
    <w:rsid w:val="00EF05C9"/>
    <w:rsid w:val="00EF3FEB"/>
    <w:rsid w:val="00EF6E74"/>
    <w:rsid w:val="00EF757E"/>
    <w:rsid w:val="00F02819"/>
    <w:rsid w:val="00F02FFE"/>
    <w:rsid w:val="00F037BF"/>
    <w:rsid w:val="00F05184"/>
    <w:rsid w:val="00F05348"/>
    <w:rsid w:val="00F06EF1"/>
    <w:rsid w:val="00F070F4"/>
    <w:rsid w:val="00F224C9"/>
    <w:rsid w:val="00F2386B"/>
    <w:rsid w:val="00F23E43"/>
    <w:rsid w:val="00F255B1"/>
    <w:rsid w:val="00F258FA"/>
    <w:rsid w:val="00F33C51"/>
    <w:rsid w:val="00F34B55"/>
    <w:rsid w:val="00F378FA"/>
    <w:rsid w:val="00F4107E"/>
    <w:rsid w:val="00F526C5"/>
    <w:rsid w:val="00F63BA6"/>
    <w:rsid w:val="00F65CDA"/>
    <w:rsid w:val="00F81F6B"/>
    <w:rsid w:val="00F83ACC"/>
    <w:rsid w:val="00F90122"/>
    <w:rsid w:val="00F90C3A"/>
    <w:rsid w:val="00F9467B"/>
    <w:rsid w:val="00FA0ECE"/>
    <w:rsid w:val="00FA20B2"/>
    <w:rsid w:val="00FB0FE8"/>
    <w:rsid w:val="00FB7A60"/>
    <w:rsid w:val="00FC1BFC"/>
    <w:rsid w:val="00FC79EA"/>
    <w:rsid w:val="00FD428E"/>
    <w:rsid w:val="00FD72A1"/>
    <w:rsid w:val="00FE080D"/>
    <w:rsid w:val="00FE2491"/>
    <w:rsid w:val="0108730E"/>
    <w:rsid w:val="01297CA0"/>
    <w:rsid w:val="013F1B29"/>
    <w:rsid w:val="014815EF"/>
    <w:rsid w:val="01492EC3"/>
    <w:rsid w:val="019120E6"/>
    <w:rsid w:val="01BB5A85"/>
    <w:rsid w:val="01D34B7C"/>
    <w:rsid w:val="02272E64"/>
    <w:rsid w:val="027C6E65"/>
    <w:rsid w:val="027F4D04"/>
    <w:rsid w:val="03195159"/>
    <w:rsid w:val="033B6E7D"/>
    <w:rsid w:val="036C34DA"/>
    <w:rsid w:val="03832FAB"/>
    <w:rsid w:val="03C36E72"/>
    <w:rsid w:val="03ED6295"/>
    <w:rsid w:val="044440D1"/>
    <w:rsid w:val="04A40A52"/>
    <w:rsid w:val="04CE2CC9"/>
    <w:rsid w:val="04E04BFA"/>
    <w:rsid w:val="052832D6"/>
    <w:rsid w:val="05471C8A"/>
    <w:rsid w:val="054933A7"/>
    <w:rsid w:val="05A54A82"/>
    <w:rsid w:val="05A64D00"/>
    <w:rsid w:val="05D42645"/>
    <w:rsid w:val="061E5078"/>
    <w:rsid w:val="062A30A6"/>
    <w:rsid w:val="062F259D"/>
    <w:rsid w:val="063D3F02"/>
    <w:rsid w:val="064B5295"/>
    <w:rsid w:val="0678353E"/>
    <w:rsid w:val="068E19BA"/>
    <w:rsid w:val="06983AFD"/>
    <w:rsid w:val="06A0349B"/>
    <w:rsid w:val="06A95833"/>
    <w:rsid w:val="06BA27AF"/>
    <w:rsid w:val="06E33EC6"/>
    <w:rsid w:val="070C670A"/>
    <w:rsid w:val="073111DF"/>
    <w:rsid w:val="07320597"/>
    <w:rsid w:val="073E1895"/>
    <w:rsid w:val="07943000"/>
    <w:rsid w:val="07B33F55"/>
    <w:rsid w:val="07F12200"/>
    <w:rsid w:val="07FB4820"/>
    <w:rsid w:val="082A5054"/>
    <w:rsid w:val="08514A4D"/>
    <w:rsid w:val="085D36E7"/>
    <w:rsid w:val="08CA47FF"/>
    <w:rsid w:val="08DE33AB"/>
    <w:rsid w:val="08E7715F"/>
    <w:rsid w:val="092E396C"/>
    <w:rsid w:val="093573BD"/>
    <w:rsid w:val="0945036B"/>
    <w:rsid w:val="097C3D4B"/>
    <w:rsid w:val="099D6B31"/>
    <w:rsid w:val="09E85885"/>
    <w:rsid w:val="0A05611E"/>
    <w:rsid w:val="0A560642"/>
    <w:rsid w:val="0A571DBE"/>
    <w:rsid w:val="0A5C5DFB"/>
    <w:rsid w:val="0A5D1DCF"/>
    <w:rsid w:val="0A747118"/>
    <w:rsid w:val="0A79028B"/>
    <w:rsid w:val="0ABB5827"/>
    <w:rsid w:val="0AEC3153"/>
    <w:rsid w:val="0AF3628F"/>
    <w:rsid w:val="0AF70675"/>
    <w:rsid w:val="0B501507"/>
    <w:rsid w:val="0B6729FA"/>
    <w:rsid w:val="0B6B0C7F"/>
    <w:rsid w:val="0BA47440"/>
    <w:rsid w:val="0BAB6B6A"/>
    <w:rsid w:val="0BAD28F8"/>
    <w:rsid w:val="0BBA77D6"/>
    <w:rsid w:val="0BC81846"/>
    <w:rsid w:val="0BF7590B"/>
    <w:rsid w:val="0C0355A4"/>
    <w:rsid w:val="0C0E231A"/>
    <w:rsid w:val="0C672D29"/>
    <w:rsid w:val="0C987B0F"/>
    <w:rsid w:val="0CD914B5"/>
    <w:rsid w:val="0CE07E3C"/>
    <w:rsid w:val="0D144DED"/>
    <w:rsid w:val="0D352B8F"/>
    <w:rsid w:val="0D403333"/>
    <w:rsid w:val="0D590830"/>
    <w:rsid w:val="0D827669"/>
    <w:rsid w:val="0DDD225C"/>
    <w:rsid w:val="0DF50550"/>
    <w:rsid w:val="0E204E08"/>
    <w:rsid w:val="0E2E6DC8"/>
    <w:rsid w:val="0E611762"/>
    <w:rsid w:val="0E8243B4"/>
    <w:rsid w:val="0E8F2773"/>
    <w:rsid w:val="0EA91F59"/>
    <w:rsid w:val="0EC75A69"/>
    <w:rsid w:val="0ECD1BA8"/>
    <w:rsid w:val="0F0F435D"/>
    <w:rsid w:val="0F5A60C1"/>
    <w:rsid w:val="0F5F3EF3"/>
    <w:rsid w:val="0F6239E3"/>
    <w:rsid w:val="0F735BF1"/>
    <w:rsid w:val="0F75168B"/>
    <w:rsid w:val="0FC226D4"/>
    <w:rsid w:val="0FDA6D40"/>
    <w:rsid w:val="0FFF7044"/>
    <w:rsid w:val="100D0B3B"/>
    <w:rsid w:val="105E7612"/>
    <w:rsid w:val="106C5F4C"/>
    <w:rsid w:val="108D53D8"/>
    <w:rsid w:val="10A049B6"/>
    <w:rsid w:val="10C70F58"/>
    <w:rsid w:val="10DB4A4D"/>
    <w:rsid w:val="10F42D61"/>
    <w:rsid w:val="113E14C5"/>
    <w:rsid w:val="11447845"/>
    <w:rsid w:val="11650505"/>
    <w:rsid w:val="116F4196"/>
    <w:rsid w:val="11FE3E97"/>
    <w:rsid w:val="12046915"/>
    <w:rsid w:val="12226F24"/>
    <w:rsid w:val="125D0492"/>
    <w:rsid w:val="12640767"/>
    <w:rsid w:val="12EC1DC3"/>
    <w:rsid w:val="13135720"/>
    <w:rsid w:val="131A3751"/>
    <w:rsid w:val="13363E30"/>
    <w:rsid w:val="13434EB7"/>
    <w:rsid w:val="13A5548E"/>
    <w:rsid w:val="13E454B0"/>
    <w:rsid w:val="13E65B9D"/>
    <w:rsid w:val="141D65B8"/>
    <w:rsid w:val="142F2A6F"/>
    <w:rsid w:val="1451195F"/>
    <w:rsid w:val="14752984"/>
    <w:rsid w:val="14777F31"/>
    <w:rsid w:val="14934ECB"/>
    <w:rsid w:val="14D92A17"/>
    <w:rsid w:val="14DC1B42"/>
    <w:rsid w:val="15196D76"/>
    <w:rsid w:val="15261E8B"/>
    <w:rsid w:val="156B557D"/>
    <w:rsid w:val="15916DD0"/>
    <w:rsid w:val="15A41CC1"/>
    <w:rsid w:val="15B63A1D"/>
    <w:rsid w:val="15CD7C63"/>
    <w:rsid w:val="15D372A6"/>
    <w:rsid w:val="15E77455"/>
    <w:rsid w:val="15FF1F8C"/>
    <w:rsid w:val="1606331B"/>
    <w:rsid w:val="16094BB9"/>
    <w:rsid w:val="160D1A57"/>
    <w:rsid w:val="16375F7B"/>
    <w:rsid w:val="167C659A"/>
    <w:rsid w:val="16A11295"/>
    <w:rsid w:val="16AE4B64"/>
    <w:rsid w:val="16C62B3D"/>
    <w:rsid w:val="16CF02A2"/>
    <w:rsid w:val="17097C7A"/>
    <w:rsid w:val="1716227E"/>
    <w:rsid w:val="1757185B"/>
    <w:rsid w:val="179F361F"/>
    <w:rsid w:val="17D60E0D"/>
    <w:rsid w:val="18272A5D"/>
    <w:rsid w:val="18552337"/>
    <w:rsid w:val="186277BB"/>
    <w:rsid w:val="18676793"/>
    <w:rsid w:val="18803DEB"/>
    <w:rsid w:val="18D47700"/>
    <w:rsid w:val="18EB2629"/>
    <w:rsid w:val="18F66B8A"/>
    <w:rsid w:val="19066528"/>
    <w:rsid w:val="191C1B86"/>
    <w:rsid w:val="19B17A41"/>
    <w:rsid w:val="19C12CE6"/>
    <w:rsid w:val="19E15FD8"/>
    <w:rsid w:val="19E902D4"/>
    <w:rsid w:val="19FD2C86"/>
    <w:rsid w:val="1A052A58"/>
    <w:rsid w:val="1A304E0A"/>
    <w:rsid w:val="1A44069A"/>
    <w:rsid w:val="1A58610F"/>
    <w:rsid w:val="1B3C0CB6"/>
    <w:rsid w:val="1B5C578B"/>
    <w:rsid w:val="1B803B6F"/>
    <w:rsid w:val="1B811695"/>
    <w:rsid w:val="1B8A22F8"/>
    <w:rsid w:val="1BAF416F"/>
    <w:rsid w:val="1BCF516C"/>
    <w:rsid w:val="1BD64EBB"/>
    <w:rsid w:val="1C3B6EE0"/>
    <w:rsid w:val="1C4F4021"/>
    <w:rsid w:val="1C6963B1"/>
    <w:rsid w:val="1CA41909"/>
    <w:rsid w:val="1CB25FAA"/>
    <w:rsid w:val="1D100F23"/>
    <w:rsid w:val="1D104045"/>
    <w:rsid w:val="1D1B2FFA"/>
    <w:rsid w:val="1D1E1B46"/>
    <w:rsid w:val="1D1E4804"/>
    <w:rsid w:val="1D2D1852"/>
    <w:rsid w:val="1D6F3E9B"/>
    <w:rsid w:val="1D702ACF"/>
    <w:rsid w:val="1DBF6D59"/>
    <w:rsid w:val="1DD50D1F"/>
    <w:rsid w:val="1DD75174"/>
    <w:rsid w:val="1E3D0A83"/>
    <w:rsid w:val="1E432C32"/>
    <w:rsid w:val="1E4A2212"/>
    <w:rsid w:val="1E5761B1"/>
    <w:rsid w:val="1E6E4153"/>
    <w:rsid w:val="1EBB4EBE"/>
    <w:rsid w:val="1ED44A68"/>
    <w:rsid w:val="1F1749A5"/>
    <w:rsid w:val="1F3404D6"/>
    <w:rsid w:val="1F353097"/>
    <w:rsid w:val="1F6B2B4D"/>
    <w:rsid w:val="1F9C084C"/>
    <w:rsid w:val="20002839"/>
    <w:rsid w:val="20286583"/>
    <w:rsid w:val="20A054B8"/>
    <w:rsid w:val="20B460F0"/>
    <w:rsid w:val="20C70A68"/>
    <w:rsid w:val="20EC26B9"/>
    <w:rsid w:val="21025F67"/>
    <w:rsid w:val="21123723"/>
    <w:rsid w:val="213F5933"/>
    <w:rsid w:val="21836021"/>
    <w:rsid w:val="218A2D6B"/>
    <w:rsid w:val="218E68BA"/>
    <w:rsid w:val="22122823"/>
    <w:rsid w:val="22477195"/>
    <w:rsid w:val="225D0E92"/>
    <w:rsid w:val="225F2C14"/>
    <w:rsid w:val="22617B2B"/>
    <w:rsid w:val="22632257"/>
    <w:rsid w:val="226F2247"/>
    <w:rsid w:val="229205AE"/>
    <w:rsid w:val="22CC31F6"/>
    <w:rsid w:val="22DA553B"/>
    <w:rsid w:val="22F62969"/>
    <w:rsid w:val="23045086"/>
    <w:rsid w:val="233D2211"/>
    <w:rsid w:val="23503CDB"/>
    <w:rsid w:val="23516BDD"/>
    <w:rsid w:val="23954084"/>
    <w:rsid w:val="23D74548"/>
    <w:rsid w:val="23E308D2"/>
    <w:rsid w:val="244A2F6C"/>
    <w:rsid w:val="247D533D"/>
    <w:rsid w:val="248720BC"/>
    <w:rsid w:val="249E0BC2"/>
    <w:rsid w:val="24AF3183"/>
    <w:rsid w:val="24E72569"/>
    <w:rsid w:val="25321FA7"/>
    <w:rsid w:val="25414BEB"/>
    <w:rsid w:val="25871E1F"/>
    <w:rsid w:val="25E36ACB"/>
    <w:rsid w:val="260316C7"/>
    <w:rsid w:val="263F0183"/>
    <w:rsid w:val="26647BE9"/>
    <w:rsid w:val="268C786C"/>
    <w:rsid w:val="26DA5BCA"/>
    <w:rsid w:val="26E41EBE"/>
    <w:rsid w:val="26F771C2"/>
    <w:rsid w:val="270F5DA7"/>
    <w:rsid w:val="275814FC"/>
    <w:rsid w:val="27677991"/>
    <w:rsid w:val="27A335A0"/>
    <w:rsid w:val="27B45A23"/>
    <w:rsid w:val="27D17F94"/>
    <w:rsid w:val="28283EF8"/>
    <w:rsid w:val="284161CD"/>
    <w:rsid w:val="286926D3"/>
    <w:rsid w:val="288F53F1"/>
    <w:rsid w:val="28A57E51"/>
    <w:rsid w:val="28C7273B"/>
    <w:rsid w:val="28D676E1"/>
    <w:rsid w:val="28D9666D"/>
    <w:rsid w:val="297B0C99"/>
    <w:rsid w:val="297E7214"/>
    <w:rsid w:val="29855DC9"/>
    <w:rsid w:val="298E38FB"/>
    <w:rsid w:val="299949A9"/>
    <w:rsid w:val="29B6075C"/>
    <w:rsid w:val="29CD19E1"/>
    <w:rsid w:val="29CE3CF8"/>
    <w:rsid w:val="2A0404A0"/>
    <w:rsid w:val="2A390D0F"/>
    <w:rsid w:val="2A5155A0"/>
    <w:rsid w:val="2A732DF7"/>
    <w:rsid w:val="2AB56C66"/>
    <w:rsid w:val="2B966A97"/>
    <w:rsid w:val="2BB34E5E"/>
    <w:rsid w:val="2BC937F6"/>
    <w:rsid w:val="2BD81687"/>
    <w:rsid w:val="2BE52A91"/>
    <w:rsid w:val="2C123DBA"/>
    <w:rsid w:val="2C280918"/>
    <w:rsid w:val="2C6B74B9"/>
    <w:rsid w:val="2C8C4B8D"/>
    <w:rsid w:val="2CF3049A"/>
    <w:rsid w:val="2CFC71ED"/>
    <w:rsid w:val="2D0D4B37"/>
    <w:rsid w:val="2D2619E0"/>
    <w:rsid w:val="2D615681"/>
    <w:rsid w:val="2DBD030B"/>
    <w:rsid w:val="2DBD45B0"/>
    <w:rsid w:val="2E293BF2"/>
    <w:rsid w:val="2E4D1311"/>
    <w:rsid w:val="2E910BE6"/>
    <w:rsid w:val="2ECD5689"/>
    <w:rsid w:val="2ECF7305"/>
    <w:rsid w:val="2ED739D2"/>
    <w:rsid w:val="2EE47B19"/>
    <w:rsid w:val="2F052E83"/>
    <w:rsid w:val="2F05760F"/>
    <w:rsid w:val="2F1461A0"/>
    <w:rsid w:val="2F53FD44"/>
    <w:rsid w:val="2F94153F"/>
    <w:rsid w:val="2F985BB8"/>
    <w:rsid w:val="2FA1285C"/>
    <w:rsid w:val="2FC736C3"/>
    <w:rsid w:val="2FCB3E32"/>
    <w:rsid w:val="2FE1152C"/>
    <w:rsid w:val="2FEC4ED7"/>
    <w:rsid w:val="30134B9E"/>
    <w:rsid w:val="302F1268"/>
    <w:rsid w:val="305F7D9F"/>
    <w:rsid w:val="310B5831"/>
    <w:rsid w:val="313401B9"/>
    <w:rsid w:val="31467379"/>
    <w:rsid w:val="315E4DAF"/>
    <w:rsid w:val="317409D9"/>
    <w:rsid w:val="31FC701E"/>
    <w:rsid w:val="32375DDF"/>
    <w:rsid w:val="325E7BE3"/>
    <w:rsid w:val="327C2C35"/>
    <w:rsid w:val="32812D01"/>
    <w:rsid w:val="32AA45F6"/>
    <w:rsid w:val="32D20907"/>
    <w:rsid w:val="33092244"/>
    <w:rsid w:val="3322274B"/>
    <w:rsid w:val="3337290D"/>
    <w:rsid w:val="33CB6900"/>
    <w:rsid w:val="34117602"/>
    <w:rsid w:val="34213384"/>
    <w:rsid w:val="344D7F0F"/>
    <w:rsid w:val="345179FF"/>
    <w:rsid w:val="34642367"/>
    <w:rsid w:val="34655258"/>
    <w:rsid w:val="34767465"/>
    <w:rsid w:val="34A002BF"/>
    <w:rsid w:val="34A044E2"/>
    <w:rsid w:val="34BA1455"/>
    <w:rsid w:val="34EE1B0F"/>
    <w:rsid w:val="34F33406"/>
    <w:rsid w:val="351A5A93"/>
    <w:rsid w:val="352041F6"/>
    <w:rsid w:val="354A2ECE"/>
    <w:rsid w:val="357E1DBE"/>
    <w:rsid w:val="359978AF"/>
    <w:rsid w:val="35D11499"/>
    <w:rsid w:val="36050AA1"/>
    <w:rsid w:val="361A28B1"/>
    <w:rsid w:val="362D4792"/>
    <w:rsid w:val="363B36EF"/>
    <w:rsid w:val="363C5B7A"/>
    <w:rsid w:val="36405F7D"/>
    <w:rsid w:val="36580022"/>
    <w:rsid w:val="36D07F17"/>
    <w:rsid w:val="36F61176"/>
    <w:rsid w:val="36F6263B"/>
    <w:rsid w:val="3700570C"/>
    <w:rsid w:val="3709636F"/>
    <w:rsid w:val="371D3646"/>
    <w:rsid w:val="3723730C"/>
    <w:rsid w:val="3743524F"/>
    <w:rsid w:val="375A4E1C"/>
    <w:rsid w:val="375B4F05"/>
    <w:rsid w:val="37870D15"/>
    <w:rsid w:val="37A10696"/>
    <w:rsid w:val="37BC2DCF"/>
    <w:rsid w:val="37C75924"/>
    <w:rsid w:val="37E20B16"/>
    <w:rsid w:val="38E53985"/>
    <w:rsid w:val="390A63CE"/>
    <w:rsid w:val="394E09B1"/>
    <w:rsid w:val="39795727"/>
    <w:rsid w:val="39BA1BA2"/>
    <w:rsid w:val="39C70CE9"/>
    <w:rsid w:val="39D055CA"/>
    <w:rsid w:val="39DE1D35"/>
    <w:rsid w:val="39FF09DB"/>
    <w:rsid w:val="3A134CBC"/>
    <w:rsid w:val="3A137042"/>
    <w:rsid w:val="3A1E65D5"/>
    <w:rsid w:val="3A7075D7"/>
    <w:rsid w:val="3AAB9F6C"/>
    <w:rsid w:val="3ADE2D8C"/>
    <w:rsid w:val="3AF570B5"/>
    <w:rsid w:val="3B141786"/>
    <w:rsid w:val="3B180FBF"/>
    <w:rsid w:val="3B2B68F9"/>
    <w:rsid w:val="3B901966"/>
    <w:rsid w:val="3BCD6478"/>
    <w:rsid w:val="3BD60511"/>
    <w:rsid w:val="3BDA2477"/>
    <w:rsid w:val="3BFB7054"/>
    <w:rsid w:val="3C300842"/>
    <w:rsid w:val="3C4936B2"/>
    <w:rsid w:val="3C6504EB"/>
    <w:rsid w:val="3C761CE1"/>
    <w:rsid w:val="3CDB69FF"/>
    <w:rsid w:val="3CE95DC1"/>
    <w:rsid w:val="3CED7811"/>
    <w:rsid w:val="3D145A6E"/>
    <w:rsid w:val="3D1F7FE3"/>
    <w:rsid w:val="3D411A42"/>
    <w:rsid w:val="3D4B4637"/>
    <w:rsid w:val="3DB64D77"/>
    <w:rsid w:val="3DCC459A"/>
    <w:rsid w:val="3E006F42"/>
    <w:rsid w:val="3E061A04"/>
    <w:rsid w:val="3E751487"/>
    <w:rsid w:val="3E8510C1"/>
    <w:rsid w:val="3E99447C"/>
    <w:rsid w:val="3EA5055F"/>
    <w:rsid w:val="3EB63280"/>
    <w:rsid w:val="3EBF13CC"/>
    <w:rsid w:val="3ED634F9"/>
    <w:rsid w:val="3EFF832A"/>
    <w:rsid w:val="3F1E0E55"/>
    <w:rsid w:val="3F253F62"/>
    <w:rsid w:val="3F2D2639"/>
    <w:rsid w:val="3F2D62AF"/>
    <w:rsid w:val="3F325123"/>
    <w:rsid w:val="3F7F79DA"/>
    <w:rsid w:val="3F8540C1"/>
    <w:rsid w:val="3F8D1F75"/>
    <w:rsid w:val="3FFD7B3A"/>
    <w:rsid w:val="403E1BCD"/>
    <w:rsid w:val="40B1759F"/>
    <w:rsid w:val="40E75BD4"/>
    <w:rsid w:val="40F714F3"/>
    <w:rsid w:val="40FB7670"/>
    <w:rsid w:val="41061B71"/>
    <w:rsid w:val="412E46EF"/>
    <w:rsid w:val="416845DA"/>
    <w:rsid w:val="41923405"/>
    <w:rsid w:val="41B45A71"/>
    <w:rsid w:val="41CD4035"/>
    <w:rsid w:val="420332D4"/>
    <w:rsid w:val="4210424C"/>
    <w:rsid w:val="421D7172"/>
    <w:rsid w:val="4243056B"/>
    <w:rsid w:val="424C7A58"/>
    <w:rsid w:val="4253528A"/>
    <w:rsid w:val="42552E6D"/>
    <w:rsid w:val="42812473"/>
    <w:rsid w:val="428D1681"/>
    <w:rsid w:val="42A171E2"/>
    <w:rsid w:val="42F235D9"/>
    <w:rsid w:val="430C30C1"/>
    <w:rsid w:val="43210EE4"/>
    <w:rsid w:val="43252423"/>
    <w:rsid w:val="433E55F2"/>
    <w:rsid w:val="4365285C"/>
    <w:rsid w:val="437C08B2"/>
    <w:rsid w:val="43DC34E1"/>
    <w:rsid w:val="440F3955"/>
    <w:rsid w:val="44511BFB"/>
    <w:rsid w:val="44826404"/>
    <w:rsid w:val="44A81A38"/>
    <w:rsid w:val="44CF7A97"/>
    <w:rsid w:val="44D10312"/>
    <w:rsid w:val="44D11DCC"/>
    <w:rsid w:val="45163526"/>
    <w:rsid w:val="459D6D9A"/>
    <w:rsid w:val="45A2210C"/>
    <w:rsid w:val="45B9660C"/>
    <w:rsid w:val="46507129"/>
    <w:rsid w:val="46850960"/>
    <w:rsid w:val="46C67DD9"/>
    <w:rsid w:val="46CD0741"/>
    <w:rsid w:val="46D73D7C"/>
    <w:rsid w:val="46F53B97"/>
    <w:rsid w:val="47635E9F"/>
    <w:rsid w:val="47732B27"/>
    <w:rsid w:val="47911D99"/>
    <w:rsid w:val="47BE5247"/>
    <w:rsid w:val="484C07B1"/>
    <w:rsid w:val="49331890"/>
    <w:rsid w:val="49972A55"/>
    <w:rsid w:val="499E328F"/>
    <w:rsid w:val="49A6332D"/>
    <w:rsid w:val="49F17862"/>
    <w:rsid w:val="4A08695A"/>
    <w:rsid w:val="4A4D0628"/>
    <w:rsid w:val="4A9F3145"/>
    <w:rsid w:val="4AB33D65"/>
    <w:rsid w:val="4AD8375B"/>
    <w:rsid w:val="4AE1132E"/>
    <w:rsid w:val="4AF869CF"/>
    <w:rsid w:val="4AFD5D93"/>
    <w:rsid w:val="4B2509CF"/>
    <w:rsid w:val="4B315A3D"/>
    <w:rsid w:val="4B3F0159"/>
    <w:rsid w:val="4B6D116B"/>
    <w:rsid w:val="4B91674C"/>
    <w:rsid w:val="4BA24842"/>
    <w:rsid w:val="4BB723E6"/>
    <w:rsid w:val="4BE85D34"/>
    <w:rsid w:val="4BFA6C4A"/>
    <w:rsid w:val="4C4B65F7"/>
    <w:rsid w:val="4C6C0266"/>
    <w:rsid w:val="4CAA019C"/>
    <w:rsid w:val="4D31441A"/>
    <w:rsid w:val="4D493511"/>
    <w:rsid w:val="4D4D1254"/>
    <w:rsid w:val="4D82114B"/>
    <w:rsid w:val="4D9A5B1B"/>
    <w:rsid w:val="4DF44DE3"/>
    <w:rsid w:val="4DF55447"/>
    <w:rsid w:val="4DF6776F"/>
    <w:rsid w:val="4E0012BC"/>
    <w:rsid w:val="4E115F94"/>
    <w:rsid w:val="4E116CCD"/>
    <w:rsid w:val="4E15411A"/>
    <w:rsid w:val="4E467A51"/>
    <w:rsid w:val="4E4767DD"/>
    <w:rsid w:val="4E4C4654"/>
    <w:rsid w:val="4E9E163B"/>
    <w:rsid w:val="4EAE2AF7"/>
    <w:rsid w:val="4EB40E5E"/>
    <w:rsid w:val="4EC70B92"/>
    <w:rsid w:val="4ECB4349"/>
    <w:rsid w:val="4F2C0E77"/>
    <w:rsid w:val="4F3B332E"/>
    <w:rsid w:val="4F5D1FD5"/>
    <w:rsid w:val="4F653140"/>
    <w:rsid w:val="4F6F10CB"/>
    <w:rsid w:val="4F8D5F75"/>
    <w:rsid w:val="4FB07878"/>
    <w:rsid w:val="4FD03A76"/>
    <w:rsid w:val="4FFA6D45"/>
    <w:rsid w:val="5051105B"/>
    <w:rsid w:val="50516BA9"/>
    <w:rsid w:val="5063365C"/>
    <w:rsid w:val="50EC1D9C"/>
    <w:rsid w:val="51034577"/>
    <w:rsid w:val="511975A5"/>
    <w:rsid w:val="512E710B"/>
    <w:rsid w:val="51383597"/>
    <w:rsid w:val="518502BF"/>
    <w:rsid w:val="51AE428B"/>
    <w:rsid w:val="51E0071F"/>
    <w:rsid w:val="52102850"/>
    <w:rsid w:val="523614E4"/>
    <w:rsid w:val="52522E68"/>
    <w:rsid w:val="52655977"/>
    <w:rsid w:val="526602D5"/>
    <w:rsid w:val="526C3DB6"/>
    <w:rsid w:val="5276445C"/>
    <w:rsid w:val="529A56E5"/>
    <w:rsid w:val="53043434"/>
    <w:rsid w:val="531E0F9C"/>
    <w:rsid w:val="5338722B"/>
    <w:rsid w:val="53494264"/>
    <w:rsid w:val="538709E1"/>
    <w:rsid w:val="53963229"/>
    <w:rsid w:val="53AD7BDA"/>
    <w:rsid w:val="53E15798"/>
    <w:rsid w:val="53F341D7"/>
    <w:rsid w:val="54050B5D"/>
    <w:rsid w:val="540957A8"/>
    <w:rsid w:val="54103B89"/>
    <w:rsid w:val="54243F19"/>
    <w:rsid w:val="549E2395"/>
    <w:rsid w:val="54F5099E"/>
    <w:rsid w:val="552E3527"/>
    <w:rsid w:val="555570FE"/>
    <w:rsid w:val="5583158B"/>
    <w:rsid w:val="55A1776B"/>
    <w:rsid w:val="55CC4575"/>
    <w:rsid w:val="56036C42"/>
    <w:rsid w:val="56113519"/>
    <w:rsid w:val="5625209A"/>
    <w:rsid w:val="56412994"/>
    <w:rsid w:val="56646BDD"/>
    <w:rsid w:val="566C0A6A"/>
    <w:rsid w:val="56700246"/>
    <w:rsid w:val="56933A4F"/>
    <w:rsid w:val="5695118A"/>
    <w:rsid w:val="56B51C18"/>
    <w:rsid w:val="56C500AD"/>
    <w:rsid w:val="56DF6C95"/>
    <w:rsid w:val="5706569B"/>
    <w:rsid w:val="5712706A"/>
    <w:rsid w:val="572529A2"/>
    <w:rsid w:val="572B18A4"/>
    <w:rsid w:val="57616FD9"/>
    <w:rsid w:val="57790E97"/>
    <w:rsid w:val="57AE6D93"/>
    <w:rsid w:val="580D2ECE"/>
    <w:rsid w:val="58583A09"/>
    <w:rsid w:val="58871E88"/>
    <w:rsid w:val="58AF4BCD"/>
    <w:rsid w:val="58C06CFB"/>
    <w:rsid w:val="59034EBC"/>
    <w:rsid w:val="591A2BA2"/>
    <w:rsid w:val="5934151A"/>
    <w:rsid w:val="59372DB8"/>
    <w:rsid w:val="59692440"/>
    <w:rsid w:val="59A66794"/>
    <w:rsid w:val="59A75E6C"/>
    <w:rsid w:val="5A1B7228"/>
    <w:rsid w:val="5A1D0200"/>
    <w:rsid w:val="5A216350"/>
    <w:rsid w:val="5A626832"/>
    <w:rsid w:val="5A76346C"/>
    <w:rsid w:val="5A8042EB"/>
    <w:rsid w:val="5A9F56BB"/>
    <w:rsid w:val="5ADC43B8"/>
    <w:rsid w:val="5B156E77"/>
    <w:rsid w:val="5B282D98"/>
    <w:rsid w:val="5B4113F5"/>
    <w:rsid w:val="5B70610D"/>
    <w:rsid w:val="5C0C0CAC"/>
    <w:rsid w:val="5C1271C4"/>
    <w:rsid w:val="5C2C297C"/>
    <w:rsid w:val="5C3A2476"/>
    <w:rsid w:val="5C9E36AF"/>
    <w:rsid w:val="5CE96177"/>
    <w:rsid w:val="5CEB1902"/>
    <w:rsid w:val="5D0631CD"/>
    <w:rsid w:val="5D07069B"/>
    <w:rsid w:val="5D6E48CE"/>
    <w:rsid w:val="5D8F2E94"/>
    <w:rsid w:val="5DEF78BB"/>
    <w:rsid w:val="5E251431"/>
    <w:rsid w:val="5E622685"/>
    <w:rsid w:val="5E7B54F5"/>
    <w:rsid w:val="5EB804F7"/>
    <w:rsid w:val="5EE76090"/>
    <w:rsid w:val="5F103E8F"/>
    <w:rsid w:val="5F6E6E08"/>
    <w:rsid w:val="5F8F19D8"/>
    <w:rsid w:val="5FE80968"/>
    <w:rsid w:val="5FF96A9A"/>
    <w:rsid w:val="6005776C"/>
    <w:rsid w:val="602A2D2E"/>
    <w:rsid w:val="604A6707"/>
    <w:rsid w:val="607E751E"/>
    <w:rsid w:val="60D45E70"/>
    <w:rsid w:val="61012261"/>
    <w:rsid w:val="61111548"/>
    <w:rsid w:val="611367E7"/>
    <w:rsid w:val="61181721"/>
    <w:rsid w:val="617641C0"/>
    <w:rsid w:val="617F4F9F"/>
    <w:rsid w:val="61831E52"/>
    <w:rsid w:val="61897F29"/>
    <w:rsid w:val="618C5C46"/>
    <w:rsid w:val="61A22999"/>
    <w:rsid w:val="622444B3"/>
    <w:rsid w:val="6253519D"/>
    <w:rsid w:val="625D30F0"/>
    <w:rsid w:val="625F223B"/>
    <w:rsid w:val="62656215"/>
    <w:rsid w:val="62794F2A"/>
    <w:rsid w:val="6284156A"/>
    <w:rsid w:val="629E17B2"/>
    <w:rsid w:val="62B611F1"/>
    <w:rsid w:val="62C456BC"/>
    <w:rsid w:val="63043D0B"/>
    <w:rsid w:val="631A16C3"/>
    <w:rsid w:val="63246DF8"/>
    <w:rsid w:val="633C653B"/>
    <w:rsid w:val="63422A85"/>
    <w:rsid w:val="63522150"/>
    <w:rsid w:val="635B60AD"/>
    <w:rsid w:val="63CB2A7A"/>
    <w:rsid w:val="644F48B8"/>
    <w:rsid w:val="646A3362"/>
    <w:rsid w:val="6477675E"/>
    <w:rsid w:val="64835B4F"/>
    <w:rsid w:val="648502DC"/>
    <w:rsid w:val="648D270F"/>
    <w:rsid w:val="64A42E07"/>
    <w:rsid w:val="64D3003F"/>
    <w:rsid w:val="650E1238"/>
    <w:rsid w:val="65153C32"/>
    <w:rsid w:val="651A3599"/>
    <w:rsid w:val="651A5A67"/>
    <w:rsid w:val="652E4AA8"/>
    <w:rsid w:val="65586834"/>
    <w:rsid w:val="655D5954"/>
    <w:rsid w:val="657A6506"/>
    <w:rsid w:val="65873E4D"/>
    <w:rsid w:val="6592268F"/>
    <w:rsid w:val="65AC3AEA"/>
    <w:rsid w:val="65FB2515"/>
    <w:rsid w:val="66342B59"/>
    <w:rsid w:val="66764EF7"/>
    <w:rsid w:val="668120DB"/>
    <w:rsid w:val="66A7460E"/>
    <w:rsid w:val="66E63727"/>
    <w:rsid w:val="67000CC4"/>
    <w:rsid w:val="676157F1"/>
    <w:rsid w:val="67796FA3"/>
    <w:rsid w:val="67980EC5"/>
    <w:rsid w:val="67AF7FBD"/>
    <w:rsid w:val="67D54414"/>
    <w:rsid w:val="67D6379C"/>
    <w:rsid w:val="67DA6186"/>
    <w:rsid w:val="67EB36EB"/>
    <w:rsid w:val="67EE31DB"/>
    <w:rsid w:val="67F105D6"/>
    <w:rsid w:val="67FB4C44"/>
    <w:rsid w:val="6848469A"/>
    <w:rsid w:val="685FC8D8"/>
    <w:rsid w:val="68721717"/>
    <w:rsid w:val="68837406"/>
    <w:rsid w:val="68B1654A"/>
    <w:rsid w:val="69222D5C"/>
    <w:rsid w:val="692C5FB8"/>
    <w:rsid w:val="69B85F35"/>
    <w:rsid w:val="69C963FF"/>
    <w:rsid w:val="69E61596"/>
    <w:rsid w:val="69EC12BA"/>
    <w:rsid w:val="6A0854B0"/>
    <w:rsid w:val="6A2449F9"/>
    <w:rsid w:val="6A3273AF"/>
    <w:rsid w:val="6A4E1D0F"/>
    <w:rsid w:val="6A804D82"/>
    <w:rsid w:val="6A8C4DAD"/>
    <w:rsid w:val="6AC437E5"/>
    <w:rsid w:val="6B012044"/>
    <w:rsid w:val="6B2F73A1"/>
    <w:rsid w:val="6B313216"/>
    <w:rsid w:val="6B656B5C"/>
    <w:rsid w:val="6BBA58AE"/>
    <w:rsid w:val="6BCE30C3"/>
    <w:rsid w:val="6BD91AAD"/>
    <w:rsid w:val="6C1D5E3D"/>
    <w:rsid w:val="6C1D7BEB"/>
    <w:rsid w:val="6C2F5CC1"/>
    <w:rsid w:val="6C3812A7"/>
    <w:rsid w:val="6C3A254B"/>
    <w:rsid w:val="6C5B0C8C"/>
    <w:rsid w:val="6CA31619"/>
    <w:rsid w:val="6CF234E2"/>
    <w:rsid w:val="6D1014FE"/>
    <w:rsid w:val="6D455E49"/>
    <w:rsid w:val="6D600E81"/>
    <w:rsid w:val="6D64730A"/>
    <w:rsid w:val="6D87651D"/>
    <w:rsid w:val="6D9715BC"/>
    <w:rsid w:val="6DA37621"/>
    <w:rsid w:val="6DAC7246"/>
    <w:rsid w:val="6DCA1E82"/>
    <w:rsid w:val="6E1F2BF5"/>
    <w:rsid w:val="6E261F4E"/>
    <w:rsid w:val="6E6C08AC"/>
    <w:rsid w:val="6E6C10A9"/>
    <w:rsid w:val="6E955891"/>
    <w:rsid w:val="6EAF77CE"/>
    <w:rsid w:val="6ED07EFC"/>
    <w:rsid w:val="6EDC16EB"/>
    <w:rsid w:val="6EFF8627"/>
    <w:rsid w:val="6F286FD3"/>
    <w:rsid w:val="6F655B31"/>
    <w:rsid w:val="6F7264A0"/>
    <w:rsid w:val="6F8306AD"/>
    <w:rsid w:val="6F9334F9"/>
    <w:rsid w:val="6FA523D2"/>
    <w:rsid w:val="701D4863"/>
    <w:rsid w:val="705850C8"/>
    <w:rsid w:val="707337EC"/>
    <w:rsid w:val="70980188"/>
    <w:rsid w:val="70A73F27"/>
    <w:rsid w:val="70B25D96"/>
    <w:rsid w:val="70C72072"/>
    <w:rsid w:val="70CC4DD8"/>
    <w:rsid w:val="70D80585"/>
    <w:rsid w:val="710E3FA6"/>
    <w:rsid w:val="71291C67"/>
    <w:rsid w:val="71447D68"/>
    <w:rsid w:val="718B1371"/>
    <w:rsid w:val="721F4898"/>
    <w:rsid w:val="72641A30"/>
    <w:rsid w:val="72681DA2"/>
    <w:rsid w:val="727C391D"/>
    <w:rsid w:val="729D4E23"/>
    <w:rsid w:val="72A12BD7"/>
    <w:rsid w:val="72A42E14"/>
    <w:rsid w:val="72AF7CA7"/>
    <w:rsid w:val="72C46353"/>
    <w:rsid w:val="734D4A43"/>
    <w:rsid w:val="7370719A"/>
    <w:rsid w:val="737960FA"/>
    <w:rsid w:val="73955FE3"/>
    <w:rsid w:val="73993FFB"/>
    <w:rsid w:val="73AA1961"/>
    <w:rsid w:val="73AD7AA7"/>
    <w:rsid w:val="73F43927"/>
    <w:rsid w:val="741A09E2"/>
    <w:rsid w:val="74525DEB"/>
    <w:rsid w:val="745B7503"/>
    <w:rsid w:val="746108E6"/>
    <w:rsid w:val="750300CE"/>
    <w:rsid w:val="7513358B"/>
    <w:rsid w:val="756476A7"/>
    <w:rsid w:val="75740099"/>
    <w:rsid w:val="759A405B"/>
    <w:rsid w:val="759D2092"/>
    <w:rsid w:val="75C779C2"/>
    <w:rsid w:val="75DB7DAA"/>
    <w:rsid w:val="760A3849"/>
    <w:rsid w:val="7631749F"/>
    <w:rsid w:val="766B3E3B"/>
    <w:rsid w:val="767C19B2"/>
    <w:rsid w:val="76D27ECE"/>
    <w:rsid w:val="77001B57"/>
    <w:rsid w:val="771147F0"/>
    <w:rsid w:val="77136084"/>
    <w:rsid w:val="77144843"/>
    <w:rsid w:val="77153081"/>
    <w:rsid w:val="771933FF"/>
    <w:rsid w:val="771B741D"/>
    <w:rsid w:val="77364257"/>
    <w:rsid w:val="774758B1"/>
    <w:rsid w:val="774B2AEE"/>
    <w:rsid w:val="774B4EF3"/>
    <w:rsid w:val="77541E49"/>
    <w:rsid w:val="77A57835"/>
    <w:rsid w:val="77FD11E2"/>
    <w:rsid w:val="782347DB"/>
    <w:rsid w:val="785378EA"/>
    <w:rsid w:val="78593D58"/>
    <w:rsid w:val="788A6966"/>
    <w:rsid w:val="789C633C"/>
    <w:rsid w:val="78B10039"/>
    <w:rsid w:val="790A7749"/>
    <w:rsid w:val="791505C8"/>
    <w:rsid w:val="794813A7"/>
    <w:rsid w:val="794A52AF"/>
    <w:rsid w:val="794C7D62"/>
    <w:rsid w:val="796E5F2A"/>
    <w:rsid w:val="79A82A83"/>
    <w:rsid w:val="79B53B59"/>
    <w:rsid w:val="7A3507F6"/>
    <w:rsid w:val="7A4463BF"/>
    <w:rsid w:val="7A4A785D"/>
    <w:rsid w:val="7A4E3666"/>
    <w:rsid w:val="7A57338D"/>
    <w:rsid w:val="7A7237F8"/>
    <w:rsid w:val="7AAF2356"/>
    <w:rsid w:val="7AAF67FA"/>
    <w:rsid w:val="7B5F5830"/>
    <w:rsid w:val="7B8F2E03"/>
    <w:rsid w:val="7BA774D1"/>
    <w:rsid w:val="7BB20466"/>
    <w:rsid w:val="7BB408EF"/>
    <w:rsid w:val="7BBC2F7D"/>
    <w:rsid w:val="7C0E01F8"/>
    <w:rsid w:val="7C1E6B4D"/>
    <w:rsid w:val="7C4F170B"/>
    <w:rsid w:val="7C6C6D7F"/>
    <w:rsid w:val="7C8B0BA1"/>
    <w:rsid w:val="7C8E608F"/>
    <w:rsid w:val="7CB82EF9"/>
    <w:rsid w:val="7CCF6CE0"/>
    <w:rsid w:val="7D091420"/>
    <w:rsid w:val="7D2B161E"/>
    <w:rsid w:val="7D650C25"/>
    <w:rsid w:val="7D871368"/>
    <w:rsid w:val="7DC027C2"/>
    <w:rsid w:val="7DD840F0"/>
    <w:rsid w:val="7DE14013"/>
    <w:rsid w:val="7DED3CF7"/>
    <w:rsid w:val="7DF9614F"/>
    <w:rsid w:val="7E000A2B"/>
    <w:rsid w:val="7E096221"/>
    <w:rsid w:val="7E162512"/>
    <w:rsid w:val="7E320950"/>
    <w:rsid w:val="7E527BC8"/>
    <w:rsid w:val="7E857F9E"/>
    <w:rsid w:val="7E9C37C2"/>
    <w:rsid w:val="7EB919F5"/>
    <w:rsid w:val="7EFF9CDA"/>
    <w:rsid w:val="7F173A09"/>
    <w:rsid w:val="7F2A043E"/>
    <w:rsid w:val="7F2A644F"/>
    <w:rsid w:val="7F4219EB"/>
    <w:rsid w:val="7F4D47B4"/>
    <w:rsid w:val="7F567244"/>
    <w:rsid w:val="7F5FF5DE"/>
    <w:rsid w:val="7F67107D"/>
    <w:rsid w:val="7F774919"/>
    <w:rsid w:val="7F780DC9"/>
    <w:rsid w:val="7F7D99F1"/>
    <w:rsid w:val="7FA43785"/>
    <w:rsid w:val="7FB69EC9"/>
    <w:rsid w:val="94F61C41"/>
    <w:rsid w:val="9F64D884"/>
    <w:rsid w:val="9F6D0EB3"/>
    <w:rsid w:val="9FF56B02"/>
    <w:rsid w:val="ADFB9170"/>
    <w:rsid w:val="B4BF0DB9"/>
    <w:rsid w:val="C9FD4B2B"/>
    <w:rsid w:val="CCDEA253"/>
    <w:rsid w:val="DABF6F44"/>
    <w:rsid w:val="DC779D98"/>
    <w:rsid w:val="EF6F5BAA"/>
    <w:rsid w:val="EFE77D40"/>
    <w:rsid w:val="F4FEC77C"/>
    <w:rsid w:val="FC4EBCFA"/>
    <w:rsid w:val="FEDD80AD"/>
    <w:rsid w:val="FF4B3B77"/>
    <w:rsid w:val="FF6FF3FA"/>
    <w:rsid w:val="FF7F7EB8"/>
    <w:rsid w:val="FFB71FA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iPriority="99"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12" w:lineRule="auto"/>
      <w:ind w:firstLine="200" w:firstLineChars="200"/>
      <w:jc w:val="both"/>
    </w:pPr>
    <w:rPr>
      <w:rFonts w:ascii="Calibri" w:hAnsi="Calibri" w:eastAsia="仿宋" w:cs="Times New Roman"/>
      <w:kern w:val="2"/>
      <w:sz w:val="30"/>
      <w:szCs w:val="21"/>
      <w:lang w:val="en-US" w:eastAsia="zh-CN" w:bidi="ar-SA"/>
    </w:rPr>
  </w:style>
  <w:style w:type="paragraph" w:styleId="3">
    <w:name w:val="heading 1"/>
    <w:next w:val="1"/>
    <w:link w:val="54"/>
    <w:qFormat/>
    <w:uiPriority w:val="0"/>
    <w:pPr>
      <w:jc w:val="center"/>
      <w:outlineLvl w:val="0"/>
    </w:pPr>
    <w:rPr>
      <w:rFonts w:ascii="Calibri" w:hAnsi="Calibri" w:eastAsia="黑体" w:cstheme="minorBidi"/>
      <w:b/>
      <w:kern w:val="2"/>
      <w:sz w:val="32"/>
      <w:szCs w:val="21"/>
      <w:lang w:val="en-US" w:eastAsia="zh-CN" w:bidi="ar-SA"/>
    </w:rPr>
  </w:style>
  <w:style w:type="paragraph" w:styleId="4">
    <w:name w:val="heading 2"/>
    <w:basedOn w:val="1"/>
    <w:next w:val="1"/>
    <w:link w:val="25"/>
    <w:unhideWhenUsed/>
    <w:qFormat/>
    <w:uiPriority w:val="0"/>
    <w:pPr>
      <w:keepNext/>
      <w:keepLines/>
      <w:spacing w:line="240" w:lineRule="auto"/>
      <w:ind w:firstLine="0" w:firstLineChars="0"/>
      <w:jc w:val="left"/>
      <w:outlineLvl w:val="1"/>
    </w:pPr>
    <w:rPr>
      <w:rFonts w:ascii="Arial" w:hAnsi="Arial" w:eastAsia="黑体"/>
      <w:b/>
    </w:rPr>
  </w:style>
  <w:style w:type="paragraph" w:styleId="5">
    <w:name w:val="heading 3"/>
    <w:basedOn w:val="1"/>
    <w:next w:val="1"/>
    <w:link w:val="56"/>
    <w:qFormat/>
    <w:uiPriority w:val="1"/>
    <w:pPr>
      <w:spacing w:line="240" w:lineRule="auto"/>
      <w:ind w:firstLine="0" w:firstLineChars="0"/>
      <w:jc w:val="left"/>
      <w:outlineLvl w:val="2"/>
    </w:pPr>
    <w:rPr>
      <w:rFonts w:ascii="黑体" w:hAnsi="黑体" w:eastAsia="黑体" w:cs="黑体"/>
      <w:b/>
      <w:bCs/>
      <w:sz w:val="28"/>
      <w:szCs w:val="28"/>
    </w:rPr>
  </w:style>
  <w:style w:type="paragraph" w:styleId="6">
    <w:name w:val="heading 4"/>
    <w:basedOn w:val="1"/>
    <w:next w:val="1"/>
    <w:qFormat/>
    <w:uiPriority w:val="1"/>
    <w:pPr>
      <w:ind w:left="738"/>
      <w:outlineLvl w:val="3"/>
    </w:pPr>
    <w:rPr>
      <w:rFonts w:ascii="黑体" w:hAnsi="黑体" w:eastAsia="黑体" w:cs="黑体"/>
      <w:b/>
      <w:bCs/>
      <w:sz w:val="23"/>
      <w:szCs w:val="23"/>
    </w:rPr>
  </w:style>
  <w:style w:type="character" w:default="1" w:styleId="19">
    <w:name w:val="Default Paragraph Font"/>
    <w:unhideWhenUsed/>
    <w:qFormat/>
    <w:uiPriority w:val="1"/>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2">
    <w:name w:val="Document Map"/>
    <w:next w:val="1"/>
    <w:unhideWhenUsed/>
    <w:qFormat/>
    <w:uiPriority w:val="99"/>
    <w:pPr>
      <w:widowControl w:val="0"/>
      <w:jc w:val="both"/>
    </w:pPr>
    <w:rPr>
      <w:rFonts w:ascii="宋体" w:hAnsi="Calibri" w:eastAsia="宋体" w:cs="Times New Roman"/>
      <w:kern w:val="2"/>
      <w:sz w:val="18"/>
      <w:szCs w:val="18"/>
      <w:lang w:val="en-US" w:eastAsia="zh-CN" w:bidi="ar-SA"/>
    </w:rPr>
  </w:style>
  <w:style w:type="paragraph" w:styleId="7">
    <w:name w:val="Normal Indent"/>
    <w:basedOn w:val="1"/>
    <w:unhideWhenUsed/>
    <w:qFormat/>
    <w:uiPriority w:val="0"/>
    <w:pPr>
      <w:spacing w:before="120" w:line="240" w:lineRule="auto"/>
      <w:ind w:firstLine="420" w:firstLineChars="0"/>
      <w:jc w:val="left"/>
    </w:pPr>
    <w:rPr>
      <w:rFonts w:ascii="Plotter" w:hAnsi="Plotter" w:eastAsia="宋体"/>
      <w:color w:val="000000"/>
      <w:sz w:val="24"/>
      <w:szCs w:val="20"/>
    </w:rPr>
  </w:style>
  <w:style w:type="paragraph" w:styleId="8">
    <w:name w:val="Body Text"/>
    <w:basedOn w:val="1"/>
    <w:link w:val="51"/>
    <w:qFormat/>
    <w:uiPriority w:val="1"/>
    <w:rPr>
      <w:rFonts w:ascii="宋体" w:hAnsi="宋体" w:eastAsia="宋体" w:cs="宋体"/>
      <w:sz w:val="23"/>
      <w:szCs w:val="23"/>
    </w:rPr>
  </w:style>
  <w:style w:type="paragraph" w:styleId="9">
    <w:name w:val="toc 3"/>
    <w:basedOn w:val="1"/>
    <w:next w:val="1"/>
    <w:qFormat/>
    <w:uiPriority w:val="0"/>
    <w:pPr>
      <w:ind w:left="840" w:leftChars="400"/>
    </w:pPr>
  </w:style>
  <w:style w:type="paragraph" w:styleId="10">
    <w:name w:val="Date"/>
    <w:basedOn w:val="1"/>
    <w:next w:val="1"/>
    <w:link w:val="49"/>
    <w:qFormat/>
    <w:uiPriority w:val="0"/>
    <w:pPr>
      <w:ind w:left="100" w:leftChars="2500"/>
    </w:pPr>
  </w:style>
  <w:style w:type="paragraph" w:styleId="11">
    <w:name w:val="Body Text Indent 2"/>
    <w:basedOn w:val="1"/>
    <w:qFormat/>
    <w:uiPriority w:val="0"/>
    <w:pPr>
      <w:ind w:firstLine="480"/>
    </w:pPr>
    <w:rPr>
      <w:sz w:val="24"/>
      <w:szCs w:val="20"/>
    </w:rPr>
  </w:style>
  <w:style w:type="paragraph" w:styleId="12">
    <w:name w:val="Balloon Text"/>
    <w:basedOn w:val="1"/>
    <w:link w:val="34"/>
    <w:qFormat/>
    <w:uiPriority w:val="0"/>
    <w:pPr>
      <w:spacing w:line="240" w:lineRule="auto"/>
    </w:pPr>
    <w:rPr>
      <w:sz w:val="18"/>
      <w:szCs w:val="18"/>
    </w:rPr>
  </w:style>
  <w:style w:type="paragraph" w:styleId="13">
    <w:name w:val="footer"/>
    <w:basedOn w:val="1"/>
    <w:link w:val="47"/>
    <w:qFormat/>
    <w:uiPriority w:val="99"/>
    <w:pPr>
      <w:tabs>
        <w:tab w:val="center" w:pos="4153"/>
        <w:tab w:val="right" w:pos="8306"/>
      </w:tabs>
      <w:snapToGrid w:val="0"/>
      <w:jc w:val="left"/>
    </w:pPr>
    <w:rPr>
      <w:sz w:val="18"/>
    </w:rPr>
  </w:style>
  <w:style w:type="paragraph" w:styleId="14">
    <w:name w:val="header"/>
    <w:basedOn w:val="1"/>
    <w:link w:val="4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Normal (Web)"/>
    <w:basedOn w:val="1"/>
    <w:qFormat/>
    <w:uiPriority w:val="0"/>
    <w:rPr>
      <w:sz w:val="24"/>
    </w:rPr>
  </w:style>
  <w:style w:type="paragraph" w:styleId="18">
    <w:name w:val="Title"/>
    <w:basedOn w:val="1"/>
    <w:next w:val="1"/>
    <w:link w:val="37"/>
    <w:qFormat/>
    <w:uiPriority w:val="0"/>
    <w:pPr>
      <w:spacing w:before="240" w:after="60"/>
      <w:jc w:val="center"/>
      <w:outlineLvl w:val="0"/>
    </w:pPr>
    <w:rPr>
      <w:rFonts w:eastAsia="宋体" w:asciiTheme="majorHAnsi" w:hAnsiTheme="majorHAnsi" w:cstheme="majorBidi"/>
      <w:b/>
      <w:bCs/>
      <w:sz w:val="32"/>
      <w:szCs w:val="32"/>
    </w:rPr>
  </w:style>
  <w:style w:type="character" w:styleId="20">
    <w:name w:val="Strong"/>
    <w:basedOn w:val="19"/>
    <w:qFormat/>
    <w:uiPriority w:val="0"/>
    <w:rPr>
      <w:b/>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
    <w:name w:val="样式3"/>
    <w:basedOn w:val="3"/>
    <w:next w:val="1"/>
    <w:link w:val="55"/>
    <w:qFormat/>
    <w:uiPriority w:val="0"/>
  </w:style>
  <w:style w:type="character" w:customStyle="1" w:styleId="25">
    <w:name w:val="标题 2 Char"/>
    <w:link w:val="4"/>
    <w:qFormat/>
    <w:uiPriority w:val="0"/>
    <w:rPr>
      <w:rFonts w:ascii="Arial" w:hAnsi="Arial" w:eastAsia="黑体"/>
      <w:b/>
      <w:sz w:val="30"/>
    </w:rPr>
  </w:style>
  <w:style w:type="paragraph" w:customStyle="1" w:styleId="26">
    <w:name w:val="图题"/>
    <w:basedOn w:val="1"/>
    <w:link w:val="46"/>
    <w:qFormat/>
    <w:uiPriority w:val="0"/>
    <w:pPr>
      <w:spacing w:line="240" w:lineRule="auto"/>
      <w:ind w:firstLine="0" w:firstLineChars="0"/>
      <w:jc w:val="center"/>
    </w:pPr>
    <w:rPr>
      <w:rFonts w:eastAsia="黑体"/>
      <w:b/>
      <w:sz w:val="24"/>
    </w:rPr>
  </w:style>
  <w:style w:type="paragraph" w:customStyle="1" w:styleId="27">
    <w:name w:val="表题"/>
    <w:basedOn w:val="1"/>
    <w:link w:val="45"/>
    <w:qFormat/>
    <w:uiPriority w:val="0"/>
    <w:pPr>
      <w:spacing w:before="50" w:beforeLines="50" w:line="240" w:lineRule="auto"/>
      <w:ind w:firstLine="0" w:firstLineChars="0"/>
      <w:jc w:val="center"/>
    </w:pPr>
    <w:rPr>
      <w:rFonts w:ascii="宋体" w:hAnsi="宋体" w:eastAsia="黑体" w:cs="宋体"/>
      <w:b/>
      <w:sz w:val="24"/>
      <w:szCs w:val="24"/>
    </w:rPr>
  </w:style>
  <w:style w:type="character" w:customStyle="1" w:styleId="28">
    <w:name w:val="标题 1 Char"/>
    <w:qFormat/>
    <w:uiPriority w:val="0"/>
    <w:rPr>
      <w:rFonts w:ascii="宋体" w:hAnsi="宋体" w:cs="宋体"/>
      <w:b/>
      <w:bCs/>
      <w:kern w:val="44"/>
      <w:sz w:val="36"/>
      <w:szCs w:val="44"/>
    </w:rPr>
  </w:style>
  <w:style w:type="paragraph" w:customStyle="1" w:styleId="29">
    <w:name w:val="章的标题"/>
    <w:basedOn w:val="3"/>
    <w:qFormat/>
    <w:uiPriority w:val="0"/>
  </w:style>
  <w:style w:type="paragraph" w:customStyle="1" w:styleId="30">
    <w:name w:val="正文-论文"/>
    <w:basedOn w:val="1"/>
    <w:qFormat/>
    <w:uiPriority w:val="99"/>
    <w:pPr>
      <w:spacing w:line="360" w:lineRule="auto"/>
    </w:pPr>
    <w:rPr>
      <w:rFonts w:eastAsiaTheme="minorEastAsia"/>
      <w:color w:val="000000"/>
      <w:szCs w:val="24"/>
    </w:rPr>
  </w:style>
  <w:style w:type="paragraph" w:customStyle="1" w:styleId="31">
    <w:name w:val="List Paragraph"/>
    <w:basedOn w:val="1"/>
    <w:qFormat/>
    <w:uiPriority w:val="34"/>
    <w:pPr>
      <w:ind w:left="1120" w:hanging="578"/>
    </w:pPr>
    <w:rPr>
      <w:rFonts w:ascii="宋体" w:hAnsi="宋体" w:eastAsia="宋体" w:cs="宋体"/>
    </w:rPr>
  </w:style>
  <w:style w:type="paragraph" w:customStyle="1" w:styleId="32">
    <w:name w:val="文字主体"/>
    <w:qFormat/>
    <w:uiPriority w:val="0"/>
    <w:pPr>
      <w:spacing w:line="360" w:lineRule="auto"/>
      <w:ind w:firstLine="560" w:firstLineChars="200"/>
    </w:pPr>
    <w:rPr>
      <w:rFonts w:ascii="Arial" w:hAnsi="Arial" w:eastAsia="仿宋_GB2312" w:cs="Arial"/>
      <w:kern w:val="2"/>
      <w:sz w:val="28"/>
      <w:szCs w:val="28"/>
      <w:lang w:val="en-US" w:eastAsia="zh-CN" w:bidi="ar-SA"/>
    </w:rPr>
  </w:style>
  <w:style w:type="paragraph" w:customStyle="1" w:styleId="33">
    <w:name w:val="WPSOffice手动目录 1"/>
    <w:qFormat/>
    <w:uiPriority w:val="0"/>
    <w:rPr>
      <w:rFonts w:asciiTheme="minorHAnsi" w:hAnsiTheme="minorHAnsi" w:eastAsiaTheme="minorEastAsia" w:cstheme="minorBidi"/>
      <w:lang w:val="en-US" w:eastAsia="zh-CN" w:bidi="ar-SA"/>
    </w:rPr>
  </w:style>
  <w:style w:type="character" w:customStyle="1" w:styleId="34">
    <w:name w:val="批注框文本 Char"/>
    <w:basedOn w:val="19"/>
    <w:link w:val="12"/>
    <w:qFormat/>
    <w:uiPriority w:val="0"/>
    <w:rPr>
      <w:rFonts w:ascii="Calibri" w:hAnsi="Calibri" w:eastAsia="仿宋" w:cs="Times New Roman"/>
      <w:kern w:val="2"/>
      <w:sz w:val="18"/>
      <w:szCs w:val="18"/>
    </w:rPr>
  </w:style>
  <w:style w:type="paragraph" w:customStyle="1" w:styleId="35">
    <w:name w:val="表中文字"/>
    <w:basedOn w:val="1"/>
    <w:qFormat/>
    <w:uiPriority w:val="0"/>
    <w:pPr>
      <w:widowControl/>
      <w:spacing w:line="240" w:lineRule="auto"/>
      <w:ind w:firstLine="0" w:firstLineChars="0"/>
      <w:jc w:val="center"/>
    </w:pPr>
    <w:rPr>
      <w:rFonts w:ascii="楷体" w:hAnsi="楷体" w:eastAsia="楷体" w:cs="宋体"/>
      <w:kern w:val="0"/>
      <w:sz w:val="24"/>
      <w:szCs w:val="28"/>
    </w:rPr>
  </w:style>
  <w:style w:type="paragraph" w:customStyle="1" w:styleId="36">
    <w:name w:val="TOC 标题1"/>
    <w:basedOn w:val="3"/>
    <w:next w:val="1"/>
    <w:unhideWhenUsed/>
    <w:qFormat/>
    <w:uiPriority w:val="39"/>
    <w:pPr>
      <w:keepNext/>
      <w:keepLines/>
      <w:spacing w:before="240" w:line="259" w:lineRule="auto"/>
      <w:outlineLvl w:val="9"/>
    </w:pPr>
    <w:rPr>
      <w:rFonts w:asciiTheme="majorHAnsi" w:hAnsiTheme="majorHAnsi" w:eastAsiaTheme="majorEastAsia" w:cstheme="majorBidi"/>
      <w:b w:val="0"/>
      <w:color w:val="2E75B6" w:themeColor="accent1" w:themeShade="BF"/>
      <w:kern w:val="0"/>
      <w:szCs w:val="32"/>
    </w:rPr>
  </w:style>
  <w:style w:type="character" w:customStyle="1" w:styleId="37">
    <w:name w:val="标题 Char"/>
    <w:basedOn w:val="19"/>
    <w:link w:val="18"/>
    <w:qFormat/>
    <w:uiPriority w:val="0"/>
    <w:rPr>
      <w:rFonts w:eastAsia="宋体" w:asciiTheme="majorHAnsi" w:hAnsiTheme="majorHAnsi" w:cstheme="majorBidi"/>
      <w:b/>
      <w:bCs/>
      <w:kern w:val="2"/>
      <w:sz w:val="32"/>
      <w:szCs w:val="32"/>
    </w:rPr>
  </w:style>
  <w:style w:type="paragraph" w:customStyle="1" w:styleId="38">
    <w:name w:val="样式1"/>
    <w:basedOn w:val="3"/>
    <w:next w:val="1"/>
    <w:qFormat/>
    <w:uiPriority w:val="0"/>
  </w:style>
  <w:style w:type="paragraph" w:customStyle="1" w:styleId="39">
    <w:name w:val="样式2"/>
    <w:basedOn w:val="4"/>
    <w:next w:val="1"/>
    <w:qFormat/>
    <w:uiPriority w:val="0"/>
  </w:style>
  <w:style w:type="paragraph" w:customStyle="1" w:styleId="40">
    <w:name w:val="十四五正文"/>
    <w:basedOn w:val="1"/>
    <w:qFormat/>
    <w:uiPriority w:val="0"/>
    <w:rPr>
      <w:rFonts w:ascii="仿宋_GB2312" w:hAnsi="仿宋" w:eastAsia="仿宋_GB2312" w:cstheme="minorBidi"/>
      <w:sz w:val="32"/>
      <w:szCs w:val="32"/>
    </w:rPr>
  </w:style>
  <w:style w:type="table" w:customStyle="1" w:styleId="41">
    <w:name w:val="网格型1"/>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2">
    <w:name w:val="十四五图表标题"/>
    <w:basedOn w:val="1"/>
    <w:qFormat/>
    <w:uiPriority w:val="0"/>
    <w:pPr>
      <w:spacing w:line="580" w:lineRule="exact"/>
      <w:jc w:val="center"/>
    </w:pPr>
    <w:rPr>
      <w:rFonts w:eastAsia="仿宋_GB2312"/>
      <w:kern w:val="0"/>
      <w:sz w:val="28"/>
      <w:szCs w:val="28"/>
    </w:rPr>
  </w:style>
  <w:style w:type="paragraph" w:customStyle="1" w:styleId="4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4">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5">
    <w:name w:val="表题 Char"/>
    <w:link w:val="27"/>
    <w:qFormat/>
    <w:uiPriority w:val="0"/>
    <w:rPr>
      <w:rFonts w:ascii="宋体" w:hAnsi="宋体" w:eastAsia="黑体" w:cs="宋体"/>
      <w:b/>
      <w:sz w:val="24"/>
      <w:szCs w:val="24"/>
    </w:rPr>
  </w:style>
  <w:style w:type="character" w:customStyle="1" w:styleId="46">
    <w:name w:val="图题 Char"/>
    <w:link w:val="26"/>
    <w:qFormat/>
    <w:uiPriority w:val="0"/>
    <w:rPr>
      <w:rFonts w:eastAsia="黑体"/>
      <w:b/>
      <w:sz w:val="24"/>
    </w:rPr>
  </w:style>
  <w:style w:type="character" w:customStyle="1" w:styleId="47">
    <w:name w:val="页脚 Char"/>
    <w:basedOn w:val="19"/>
    <w:link w:val="13"/>
    <w:qFormat/>
    <w:uiPriority w:val="99"/>
    <w:rPr>
      <w:rFonts w:ascii="Calibri" w:hAnsi="Calibri" w:eastAsia="仿宋"/>
      <w:kern w:val="2"/>
      <w:sz w:val="18"/>
      <w:szCs w:val="21"/>
    </w:rPr>
  </w:style>
  <w:style w:type="character" w:customStyle="1" w:styleId="48">
    <w:name w:val="页眉 Char"/>
    <w:basedOn w:val="19"/>
    <w:link w:val="14"/>
    <w:qFormat/>
    <w:uiPriority w:val="99"/>
    <w:rPr>
      <w:rFonts w:ascii="Calibri" w:hAnsi="Calibri" w:eastAsia="仿宋"/>
      <w:kern w:val="2"/>
      <w:sz w:val="18"/>
      <w:szCs w:val="21"/>
    </w:rPr>
  </w:style>
  <w:style w:type="character" w:customStyle="1" w:styleId="49">
    <w:name w:val="日期 Char"/>
    <w:basedOn w:val="19"/>
    <w:link w:val="10"/>
    <w:qFormat/>
    <w:uiPriority w:val="0"/>
    <w:rPr>
      <w:rFonts w:ascii="Calibri" w:hAnsi="Calibri" w:eastAsia="仿宋"/>
      <w:kern w:val="2"/>
      <w:sz w:val="30"/>
      <w:szCs w:val="21"/>
    </w:rPr>
  </w:style>
  <w:style w:type="paragraph" w:customStyle="1" w:styleId="50">
    <w:name w:val="图片"/>
    <w:basedOn w:val="26"/>
    <w:qFormat/>
    <w:uiPriority w:val="0"/>
    <w:rPr>
      <w:sz w:val="21"/>
    </w:rPr>
  </w:style>
  <w:style w:type="character" w:customStyle="1" w:styleId="51">
    <w:name w:val="正文文本 Char"/>
    <w:basedOn w:val="19"/>
    <w:link w:val="8"/>
    <w:qFormat/>
    <w:uiPriority w:val="1"/>
    <w:rPr>
      <w:rFonts w:ascii="宋体" w:hAnsi="宋体" w:cs="宋体"/>
      <w:kern w:val="2"/>
      <w:sz w:val="23"/>
      <w:szCs w:val="23"/>
    </w:rPr>
  </w:style>
  <w:style w:type="character" w:customStyle="1" w:styleId="52">
    <w:name w:val="fontstyle01"/>
    <w:basedOn w:val="19"/>
    <w:qFormat/>
    <w:uiPriority w:val="0"/>
    <w:rPr>
      <w:rFonts w:ascii="黑体" w:hAnsi="宋体" w:eastAsia="黑体" w:cs="黑体"/>
      <w:color w:val="000000"/>
      <w:sz w:val="28"/>
      <w:szCs w:val="28"/>
    </w:rPr>
  </w:style>
  <w:style w:type="character" w:customStyle="1" w:styleId="53">
    <w:name w:val="fontstyle11"/>
    <w:basedOn w:val="19"/>
    <w:qFormat/>
    <w:uiPriority w:val="0"/>
    <w:rPr>
      <w:rFonts w:ascii="TimesNewRomanPSMT" w:hAnsi="TimesNewRomanPSMT" w:eastAsia="TimesNewRomanPSMT" w:cs="TimesNewRomanPSMT"/>
      <w:color w:val="000000"/>
      <w:sz w:val="28"/>
      <w:szCs w:val="28"/>
    </w:rPr>
  </w:style>
  <w:style w:type="character" w:customStyle="1" w:styleId="54">
    <w:name w:val="标题 1 Char1"/>
    <w:link w:val="3"/>
    <w:qFormat/>
    <w:uiPriority w:val="0"/>
    <w:rPr>
      <w:rFonts w:ascii="Calibri" w:hAnsi="Calibri" w:eastAsia="黑体" w:cstheme="minorBidi"/>
      <w:b/>
      <w:kern w:val="2"/>
      <w:sz w:val="32"/>
      <w:szCs w:val="21"/>
      <w:lang w:val="en-US" w:eastAsia="zh-CN" w:bidi="ar-SA"/>
    </w:rPr>
  </w:style>
  <w:style w:type="character" w:customStyle="1" w:styleId="55">
    <w:name w:val="样式3 Char"/>
    <w:link w:val="24"/>
    <w:qFormat/>
    <w:uiPriority w:val="0"/>
  </w:style>
  <w:style w:type="character" w:customStyle="1" w:styleId="56">
    <w:name w:val="标题 3 Char"/>
    <w:basedOn w:val="19"/>
    <w:link w:val="5"/>
    <w:qFormat/>
    <w:uiPriority w:val="1"/>
    <w:rPr>
      <w:rFonts w:ascii="黑体" w:hAnsi="黑体" w:eastAsia="黑体" w:cs="黑体"/>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C:\Users\pomelo\Documents\WPS Cloud Files\322933524\&#23458;&#36135;&#36816;&#3732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defTabSz="914400">
              <a:defRPr lang="zh-CN" sz="1400" b="0" i="0" u="none" strike="noStrike" kern="1200" spc="0" baseline="0">
                <a:solidFill>
                  <a:schemeClr val="tx1">
                    <a:lumMod val="65000"/>
                    <a:lumOff val="35000"/>
                  </a:schemeClr>
                </a:solidFill>
                <a:latin typeface="Nimbus Roman No9 L" charset="0"/>
                <a:ea typeface="Nimbus Roman No9 L" charset="0"/>
                <a:cs typeface="Nimbus Roman No9 L" charset="0"/>
                <a:sym typeface="Nimbus Roman No9 L" charset="0"/>
              </a:defRPr>
            </a:pPr>
            <a:r>
              <a:rPr sz="1200">
                <a:latin typeface="Nimbus Roman No9 L" charset="0"/>
                <a:ea typeface="Nimbus Roman No9 L" charset="0"/>
                <a:cs typeface="Nimbus Roman No9 L" charset="0"/>
                <a:sym typeface="Nimbus Roman No9 L" charset="0"/>
              </a:rPr>
              <a:t>平远县20</a:t>
            </a:r>
            <a:r>
              <a:rPr lang="en-US" altLang="zh-CN" sz="1200">
                <a:latin typeface="Nimbus Roman No9 L" charset="0"/>
                <a:ea typeface="Nimbus Roman No9 L" charset="0"/>
                <a:cs typeface="Nimbus Roman No9 L" charset="0"/>
                <a:sym typeface="Nimbus Roman No9 L" charset="0"/>
              </a:rPr>
              <a:t>16</a:t>
            </a:r>
            <a:r>
              <a:rPr altLang="en-US" sz="1200">
                <a:latin typeface="Nimbus Roman No9 L" charset="0"/>
                <a:ea typeface="宋体" charset="0"/>
                <a:cs typeface="Nimbus Roman No9 L" charset="0"/>
                <a:sym typeface="Nimbus Roman No9 L" charset="0"/>
              </a:rPr>
              <a:t>年</a:t>
            </a:r>
            <a:r>
              <a:rPr lang="en-US" altLang="zh-CN" sz="1200">
                <a:latin typeface="Nimbus Roman No9 L" charset="0"/>
                <a:ea typeface="Nimbus Roman No9 L" charset="0"/>
                <a:cs typeface="Nimbus Roman No9 L" charset="0"/>
                <a:sym typeface="Nimbus Roman No9 L" charset="0"/>
              </a:rPr>
              <a:t>—</a:t>
            </a:r>
            <a:r>
              <a:rPr sz="1200">
                <a:latin typeface="Nimbus Roman No9 L" charset="0"/>
                <a:ea typeface="Nimbus Roman No9 L" charset="0"/>
                <a:cs typeface="Nimbus Roman No9 L" charset="0"/>
                <a:sym typeface="Nimbus Roman No9 L" charset="0"/>
              </a:rPr>
              <a:t>20</a:t>
            </a:r>
            <a:r>
              <a:rPr lang="en-US" altLang="zh-CN" sz="1200">
                <a:latin typeface="Nimbus Roman No9 L" charset="0"/>
                <a:ea typeface="Nimbus Roman No9 L" charset="0"/>
                <a:cs typeface="Nimbus Roman No9 L" charset="0"/>
                <a:sym typeface="Nimbus Roman No9 L" charset="0"/>
              </a:rPr>
              <a:t>20</a:t>
            </a:r>
            <a:r>
              <a:rPr sz="1200">
                <a:latin typeface="Nimbus Roman No9 L" charset="0"/>
                <a:ea typeface="Nimbus Roman No9 L" charset="0"/>
                <a:cs typeface="Nimbus Roman No9 L" charset="0"/>
                <a:sym typeface="Nimbus Roman No9 L" charset="0"/>
              </a:rPr>
              <a:t>年客运量（万人次）</a:t>
            </a:r>
            <a:endParaRPr sz="1200">
              <a:latin typeface="Nimbus Roman No9 L" charset="0"/>
              <a:ea typeface="Nimbus Roman No9 L" charset="0"/>
              <a:cs typeface="Nimbus Roman No9 L" charset="0"/>
              <a:sym typeface="Nimbus Roman No9 L" charset="0"/>
            </a:endParaRPr>
          </a:p>
        </c:rich>
      </c:tx>
      <c:layout>
        <c:manualLayout>
          <c:xMode val="edge"/>
          <c:yMode val="edge"/>
          <c:x val="0.180596051309401"/>
          <c:y val="0.0202305851642375"/>
        </c:manualLayout>
      </c:layout>
      <c:overlay val="0"/>
      <c:spPr>
        <a:noFill/>
        <a:ln>
          <a:noFill/>
        </a:ln>
        <a:effectLst/>
      </c:spPr>
    </c:title>
    <c:autoTitleDeleted val="0"/>
    <c:plotArea>
      <c:layout>
        <c:manualLayout>
          <c:layoutTarget val="inner"/>
          <c:xMode val="edge"/>
          <c:yMode val="edge"/>
          <c:x val="0.0765332565505327"/>
          <c:y val="0.14793875147232"/>
          <c:w val="0.887618773394759"/>
          <c:h val="0.754628975265018"/>
        </c:manualLayout>
      </c:layout>
      <c:barChart>
        <c:barDir val="col"/>
        <c:grouping val="clustered"/>
        <c:varyColors val="0"/>
        <c:ser>
          <c:idx val="0"/>
          <c:order val="0"/>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1200" b="0" i="0" u="none" strike="noStrike" kern="1200" baseline="0">
                        <a:solidFill>
                          <a:schemeClr val="tx1">
                            <a:lumMod val="75000"/>
                            <a:lumOff val="25000"/>
                          </a:schemeClr>
                        </a:solidFill>
                        <a:latin typeface="Nimbus Roman No9 L" charset="0"/>
                        <a:ea typeface="Nimbus Roman No9 L" charset="0"/>
                        <a:cs typeface="Nimbus Roman No9 L" charset="0"/>
                        <a:sym typeface="Nimbus Roman No9 L" charset="0"/>
                      </a:defRPr>
                    </a:pPr>
                    <a:r>
                      <a:rPr sz="1200">
                        <a:latin typeface="Nimbus Roman No9 L" charset="0"/>
                        <a:ea typeface="Nimbus Roman No9 L" charset="0"/>
                        <a:cs typeface="Nimbus Roman No9 L" charset="0"/>
                        <a:sym typeface="Nimbus Roman No9 L" charset="0"/>
                      </a:rPr>
                      <a:t>328.45</a:t>
                    </a:r>
                    <a:endParaRPr sz="1200">
                      <a:latin typeface="Nimbus Roman No9 L" charset="0"/>
                      <a:ea typeface="Nimbus Roman No9 L" charset="0"/>
                      <a:cs typeface="Nimbus Roman No9 L" charset="0"/>
                      <a:sym typeface="Nimbus Roman No9 L" charset="0"/>
                    </a:endParaRPr>
                  </a:p>
                </c:rich>
              </c:tx>
              <c:numFmt formatCode="General" sourceLinked="1"/>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lumMod val="75000"/>
                        <a:lumOff val="25000"/>
                      </a:schemeClr>
                    </a:solidFill>
                    <a:latin typeface="Nimbus Roman No9 L" charset="0"/>
                    <a:ea typeface="Nimbus Roman No9 L" charset="0"/>
                    <a:cs typeface="Nimbus Roman No9 L" charset="0"/>
                    <a:sym typeface="Nimbus Roman No9 L"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[工作簿1]Sheet1!$C$20:$C$24</c:f>
              <c:numCache>
                <c:formatCode>General</c:formatCode>
                <c:ptCount val="5"/>
                <c:pt idx="0">
                  <c:v>2016</c:v>
                </c:pt>
                <c:pt idx="1">
                  <c:v>2017</c:v>
                </c:pt>
                <c:pt idx="2">
                  <c:v>2018</c:v>
                </c:pt>
                <c:pt idx="3">
                  <c:v>2019</c:v>
                </c:pt>
                <c:pt idx="4">
                  <c:v>2020</c:v>
                </c:pt>
              </c:numCache>
            </c:numRef>
          </c:cat>
          <c:val>
            <c:numRef>
              <c:f>[工作簿1]Sheet1!$D$20:$D$24</c:f>
              <c:numCache>
                <c:formatCode>General</c:formatCode>
                <c:ptCount val="5"/>
                <c:pt idx="0" c:formatCode="General">
                  <c:v>328.45</c:v>
                </c:pt>
                <c:pt idx="1" c:formatCode="General">
                  <c:v>331.17</c:v>
                </c:pt>
                <c:pt idx="2" c:formatCode="General">
                  <c:v>348.12</c:v>
                </c:pt>
                <c:pt idx="3" c:formatCode="General">
                  <c:v>290.35</c:v>
                </c:pt>
                <c:pt idx="4" c:formatCode="0.00_ ">
                  <c:v>315.2</c:v>
                </c:pt>
              </c:numCache>
            </c:numRef>
          </c:val>
        </c:ser>
        <c:dLbls>
          <c:dLblPos val="outEnd"/>
          <c:showLegendKey val="0"/>
          <c:showVal val="1"/>
          <c:showCatName val="0"/>
          <c:showSerName val="0"/>
          <c:showPercent val="0"/>
          <c:showBubbleSize val="0"/>
        </c:dLbls>
        <c:gapWidth val="117"/>
        <c:overlap val="29"/>
        <c:axId val="791443567"/>
        <c:axId val="735413874"/>
      </c:barChart>
      <c:catAx>
        <c:axId val="791443567"/>
        <c:scaling>
          <c:orientation val="minMax"/>
        </c:scaling>
        <c:delete val="0"/>
        <c:axPos val="b"/>
        <c:majorGridlines>
          <c:spPr>
            <a:noFill/>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1200" b="0" i="0" u="none" strike="noStrike" kern="1200" baseline="0">
                <a:solidFill>
                  <a:schemeClr val="tx1">
                    <a:lumMod val="65000"/>
                    <a:lumOff val="35000"/>
                  </a:schemeClr>
                </a:solidFill>
                <a:latin typeface="Nimbus Roman No9 L" charset="0"/>
                <a:ea typeface="Nimbus Roman No9 L" charset="0"/>
                <a:cs typeface="Nimbus Roman No9 L" charset="0"/>
                <a:sym typeface="Nimbus Roman No9 L" charset="0"/>
              </a:defRPr>
            </a:pPr>
          </a:p>
        </c:txPr>
        <c:crossAx val="735413874"/>
        <c:crosses val="autoZero"/>
        <c:auto val="1"/>
        <c:lblAlgn val="ctr"/>
        <c:lblOffset val="100"/>
        <c:tickMarkSkip val="1"/>
        <c:noMultiLvlLbl val="0"/>
      </c:catAx>
      <c:valAx>
        <c:axId val="735413874"/>
        <c:scaling>
          <c:orientation val="minMax"/>
          <c:max val="400"/>
          <c:min val="0"/>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horzOverflow="overflow" vert="horz" wrap="square" anchor="ctr" anchorCtr="1"/>
          <a:lstStyle/>
          <a:p>
            <a:pPr>
              <a:defRPr lang="zh-CN" sz="1200" b="0" i="0" u="none" strike="noStrike" kern="1200" baseline="0">
                <a:solidFill>
                  <a:schemeClr val="tx1">
                    <a:lumMod val="65000"/>
                    <a:lumOff val="35000"/>
                  </a:schemeClr>
                </a:solidFill>
                <a:latin typeface="Nimbus Roman No9 L" charset="0"/>
                <a:ea typeface="Nimbus Roman No9 L" charset="0"/>
                <a:cs typeface="Nimbus Roman No9 L" charset="0"/>
                <a:sym typeface="Nimbus Roman No9 L" charset="0"/>
              </a:defRPr>
            </a:pPr>
          </a:p>
        </c:txPr>
        <c:crossAx val="791443567"/>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latin typeface="Nimbus Roman No9 L" charset="0"/>
          <a:ea typeface="Nimbus Roman No9 L" charset="0"/>
          <a:cs typeface="Nimbus Roman No9 L" charset="0"/>
          <a:sym typeface="Nimbus Roman No9 L"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defTabSz="914400">
              <a:defRPr lang="zh-CN" sz="1400" b="0" i="0" u="none" strike="noStrike" kern="1200" spc="0" baseline="0">
                <a:solidFill>
                  <a:schemeClr val="tx1">
                    <a:lumMod val="65000"/>
                    <a:lumOff val="35000"/>
                  </a:schemeClr>
                </a:solidFill>
                <a:latin typeface="Nimbus Roman No9 L" charset="0"/>
                <a:ea typeface="Nimbus Roman No9 L" charset="0"/>
                <a:cs typeface="Nimbus Roman No9 L" charset="0"/>
                <a:sym typeface="Nimbus Roman No9 L" charset="0"/>
              </a:defRPr>
            </a:pPr>
            <a:r>
              <a:rPr>
                <a:latin typeface="Nimbus Roman No9 L" charset="0"/>
                <a:ea typeface="Nimbus Roman No9 L" charset="0"/>
                <a:cs typeface="Nimbus Roman No9 L" charset="0"/>
                <a:sym typeface="Nimbus Roman No9 L" charset="0"/>
              </a:rPr>
              <a:t>平远县20</a:t>
            </a:r>
            <a:r>
              <a:rPr lang="en-US" altLang="zh-CN">
                <a:latin typeface="Nimbus Roman No9 L" charset="0"/>
                <a:ea typeface="Nimbus Roman No9 L" charset="0"/>
                <a:cs typeface="Nimbus Roman No9 L" charset="0"/>
                <a:sym typeface="Nimbus Roman No9 L" charset="0"/>
              </a:rPr>
              <a:t>16—</a:t>
            </a:r>
            <a:r>
              <a:rPr>
                <a:latin typeface="Nimbus Roman No9 L" charset="0"/>
                <a:ea typeface="Nimbus Roman No9 L" charset="0"/>
                <a:cs typeface="Nimbus Roman No9 L" charset="0"/>
                <a:sym typeface="Nimbus Roman No9 L" charset="0"/>
              </a:rPr>
              <a:t>20</a:t>
            </a:r>
            <a:r>
              <a:rPr lang="en-US" altLang="zh-CN">
                <a:latin typeface="Nimbus Roman No9 L" charset="0"/>
                <a:ea typeface="Nimbus Roman No9 L" charset="0"/>
                <a:cs typeface="Nimbus Roman No9 L" charset="0"/>
                <a:sym typeface="Nimbus Roman No9 L" charset="0"/>
              </a:rPr>
              <a:t>20</a:t>
            </a:r>
            <a:r>
              <a:rPr>
                <a:latin typeface="Nimbus Roman No9 L" charset="0"/>
                <a:ea typeface="Nimbus Roman No9 L" charset="0"/>
                <a:cs typeface="Nimbus Roman No9 L" charset="0"/>
                <a:sym typeface="Nimbus Roman No9 L" charset="0"/>
              </a:rPr>
              <a:t>年货运量（万吨）</a:t>
            </a:r>
            <a:endParaRPr>
              <a:latin typeface="Nimbus Roman No9 L" charset="0"/>
              <a:ea typeface="Nimbus Roman No9 L" charset="0"/>
              <a:cs typeface="Nimbus Roman No9 L" charset="0"/>
              <a:sym typeface="Nimbus Roman No9 L" charset="0"/>
            </a:endParaRPr>
          </a:p>
        </c:rich>
      </c:tx>
      <c:layout>
        <c:manualLayout>
          <c:xMode val="edge"/>
          <c:yMode val="edge"/>
          <c:x val="0.181255398790671"/>
          <c:y val="0.0122497055359246"/>
        </c:manualLayout>
      </c:layout>
      <c:overlay val="0"/>
      <c:spPr>
        <a:noFill/>
        <a:ln>
          <a:noFill/>
        </a:ln>
        <a:effectLst/>
      </c:spPr>
    </c:title>
    <c:autoTitleDeleted val="0"/>
    <c:plotArea>
      <c:layout>
        <c:manualLayout>
          <c:layoutTarget val="inner"/>
          <c:xMode val="edge"/>
          <c:yMode val="edge"/>
          <c:x val="0.074805643535848"/>
          <c:y val="0.14793875147232"/>
          <c:w val="0.887618773394759"/>
          <c:h val="0.754628975265018"/>
        </c:manualLayout>
      </c:layout>
      <c:barChart>
        <c:barDir val="col"/>
        <c:grouping val="clustered"/>
        <c:varyColors val="0"/>
        <c:ser>
          <c:idx val="0"/>
          <c:order val="0"/>
          <c:spPr>
            <a:solidFill>
              <a:srgbClr val="FFC000"/>
            </a:solidFill>
            <a:ln>
              <a:noFill/>
            </a:ln>
            <a:effectLst/>
          </c:spPr>
          <c:invertIfNegative val="0"/>
          <c:dLbls>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200" b="0" i="0" u="none" strike="noStrike" kern="1200" baseline="0">
                    <a:solidFill>
                      <a:schemeClr val="tx1">
                        <a:lumMod val="75000"/>
                        <a:lumOff val="25000"/>
                      </a:schemeClr>
                    </a:solidFill>
                    <a:latin typeface="Nimbus Roman No9 L" charset="0"/>
                    <a:ea typeface="Nimbus Roman No9 L" charset="0"/>
                    <a:cs typeface="Nimbus Roman No9 L" charset="0"/>
                    <a:sym typeface="Nimbus Roman No9 L"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[工作簿1]Sheet1!$C$20:$C$24</c:f>
              <c:numCache>
                <c:formatCode>General</c:formatCode>
                <c:ptCount val="5"/>
                <c:pt idx="0">
                  <c:v>2016</c:v>
                </c:pt>
                <c:pt idx="1">
                  <c:v>2017</c:v>
                </c:pt>
                <c:pt idx="2">
                  <c:v>2018</c:v>
                </c:pt>
                <c:pt idx="3">
                  <c:v>2019</c:v>
                </c:pt>
                <c:pt idx="4">
                  <c:v>2020</c:v>
                </c:pt>
              </c:numCache>
            </c:numRef>
          </c:cat>
          <c:val>
            <c:numRef>
              <c:f>[工作簿1]Sheet1!$D$20:$D$24</c:f>
              <c:numCache>
                <c:formatCode>General</c:formatCode>
                <c:ptCount val="5"/>
                <c:pt idx="0" c:formatCode="General">
                  <c:v>610.58</c:v>
                </c:pt>
                <c:pt idx="1" c:formatCode="General">
                  <c:v>687.08</c:v>
                </c:pt>
                <c:pt idx="2" c:formatCode="General">
                  <c:v>719.57</c:v>
                </c:pt>
                <c:pt idx="3" c:formatCode="General">
                  <c:v>702.25</c:v>
                </c:pt>
                <c:pt idx="4" c:formatCode="General">
                  <c:v>687.07</c:v>
                </c:pt>
              </c:numCache>
            </c:numRef>
          </c:val>
        </c:ser>
        <c:dLbls>
          <c:dLblPos val="outEnd"/>
          <c:showLegendKey val="0"/>
          <c:showVal val="1"/>
          <c:showCatName val="0"/>
          <c:showSerName val="0"/>
          <c:showPercent val="0"/>
          <c:showBubbleSize val="0"/>
        </c:dLbls>
        <c:gapWidth val="117"/>
        <c:overlap val="29"/>
        <c:axId val="791443567"/>
        <c:axId val="735413874"/>
      </c:barChart>
      <c:catAx>
        <c:axId val="791443567"/>
        <c:scaling>
          <c:orientation val="minMax"/>
        </c:scaling>
        <c:delete val="0"/>
        <c:axPos val="b"/>
        <c:majorGridlines>
          <c:spPr>
            <a:noFill/>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1200" b="0" i="0" u="none" strike="noStrike" kern="1200" baseline="0">
                <a:solidFill>
                  <a:schemeClr val="tx1">
                    <a:lumMod val="65000"/>
                    <a:lumOff val="35000"/>
                  </a:schemeClr>
                </a:solidFill>
                <a:latin typeface="Nimbus Roman No9 L" charset="0"/>
                <a:ea typeface="Nimbus Roman No9 L" charset="0"/>
                <a:cs typeface="Nimbus Roman No9 L" charset="0"/>
                <a:sym typeface="Nimbus Roman No9 L" charset="0"/>
              </a:defRPr>
            </a:pPr>
          </a:p>
        </c:txPr>
        <c:crossAx val="735413874"/>
        <c:crosses val="autoZero"/>
        <c:auto val="1"/>
        <c:lblAlgn val="ctr"/>
        <c:lblOffset val="100"/>
        <c:tickMarkSkip val="1"/>
        <c:noMultiLvlLbl val="0"/>
      </c:catAx>
      <c:valAx>
        <c:axId val="735413874"/>
        <c:scaling>
          <c:orientation val="minMax"/>
          <c:min val="0"/>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horzOverflow="overflow" vert="horz" wrap="square" anchor="ctr" anchorCtr="1"/>
          <a:lstStyle/>
          <a:p>
            <a:pPr>
              <a:defRPr lang="zh-CN" sz="1200" b="0" i="0" u="none" strike="noStrike" kern="1200" baseline="0">
                <a:solidFill>
                  <a:schemeClr val="tx1">
                    <a:lumMod val="65000"/>
                    <a:lumOff val="35000"/>
                  </a:schemeClr>
                </a:solidFill>
                <a:latin typeface="Nimbus Roman No9 L" charset="0"/>
                <a:ea typeface="Nimbus Roman No9 L" charset="0"/>
                <a:cs typeface="Nimbus Roman No9 L" charset="0"/>
                <a:sym typeface="Nimbus Roman No9 L" charset="0"/>
              </a:defRPr>
            </a:pPr>
          </a:p>
        </c:txPr>
        <c:crossAx val="791443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latin typeface="Nimbus Roman No9 L" charset="0"/>
          <a:ea typeface="Nimbus Roman No9 L" charset="0"/>
          <a:cs typeface="Nimbus Roman No9 L" charset="0"/>
          <a:sym typeface="Nimbus Roman No9 L"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35422</Words>
  <Characters>40290</Characters>
  <Lines>325</Lines>
  <Paragraphs>91</Paragraphs>
  <TotalTime>0</TotalTime>
  <ScaleCrop>false</ScaleCrop>
  <LinksUpToDate>false</LinksUpToDate>
  <CharactersWithSpaces>40762</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2021-08-30T22:56:00Z</dcterms:created>
  <dc:creator>pomelo丶</dc:creator>
  <cp:lastModifiedBy>Administrator</cp:lastModifiedBy>
  <cp:lastPrinted>2023-04-18T11:50:00Z</cp:lastPrinted>
  <dcterms:modified xsi:type="dcterms:W3CDTF">2025-12-11T00:38:04Z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y fmtid="{D5CDD505-2E9C-101B-9397-08002B2CF9AE}" pid="3" name="ICV">
    <vt:lpwstr>E8E493E1CBA2434AA9C58112B09A4F74</vt:lpwstr>
  </property>
</Properties>
</file>