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Cs w:val="32"/>
        </w:rPr>
        <w:t>附件</w:t>
      </w:r>
    </w:p>
    <w:p>
      <w:pPr>
        <w:spacing w:line="600" w:lineRule="exact"/>
        <w:ind w:left="-761" w:leftChars="-226" w:right="-889" w:rightChars="-264"/>
        <w:jc w:val="center"/>
        <w:rPr>
          <w:rFonts w:hint="eastAsia" w:ascii="仿宋_GB2312" w:hAnsi="ˎ̥" w:cs="Arial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2019年9月食品安全监督抽检结果汇总表</w:t>
      </w:r>
    </w:p>
    <w:bookmarkEnd w:id="0"/>
    <w:tbl>
      <w:tblPr>
        <w:tblStyle w:val="7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534"/>
        <w:gridCol w:w="1422"/>
        <w:gridCol w:w="1387"/>
        <w:gridCol w:w="1447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68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53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食品种类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样品抽检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数量/批次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数量/批次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不合格样品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数量/批次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粮食加工品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3680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3656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食用油、油脂及其制品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2346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2259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调味品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2488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2478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肉制品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2443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2403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乳制品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1125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1125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饮料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3580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3553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方便食品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1100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1085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饼干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992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984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99.19%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罐头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675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673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冷冻饮品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316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速冻食品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931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929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薯类和膨化食品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652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626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糖果制品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2093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2090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99.86%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茶叶及相关制品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1335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1332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酒类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2458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2420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蔬菜制品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1546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1491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水果制品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1385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1339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炒货食品及坚果制品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940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911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96.91%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蛋制品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327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326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可可及焙烤咖啡产品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食糖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456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447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水产制品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839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815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97.14%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淀粉及淀粉制品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763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756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糕点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7079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6980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豆制品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1121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1113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蜂产品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273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264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96.70%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保健食品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特殊膳食食品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特殊医学用途配方食品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253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婴幼儿配方食品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餐饮食品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4847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4642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95.77%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食品添加剂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食用农产品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20555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20148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407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98.02%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食盐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253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612</w:t>
            </w:r>
          </w:p>
        </w:tc>
        <w:tc>
          <w:tcPr>
            <w:tcW w:w="138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611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99.84%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8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  计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67569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66381</w:t>
            </w:r>
          </w:p>
        </w:tc>
        <w:tc>
          <w:tcPr>
            <w:tcW w:w="14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1188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98.24%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7FB3"/>
    <w:multiLevelType w:val="multilevel"/>
    <w:tmpl w:val="5D777FB3"/>
    <w:lvl w:ilvl="0" w:tentative="0">
      <w:start w:val="1"/>
      <w:numFmt w:val="chineseCountingThousand"/>
      <w:suff w:val="space"/>
      <w:lvlText w:val="第%1部分：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"/>
      <w:suff w:val="space"/>
      <w:lvlText w:val="第%2章"/>
      <w:lvlJc w:val="left"/>
      <w:pPr>
        <w:ind w:left="2694" w:firstLine="0"/>
      </w:pPr>
      <w:rPr>
        <w:rFonts w:hint="eastAsia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  <w:color w:val="333300"/>
      </w:rPr>
    </w:lvl>
    <w:lvl w:ilvl="6" w:tentative="0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space"/>
      <w:lvlText w:val="%8"/>
      <w:lvlJc w:val="left"/>
      <w:pPr>
        <w:ind w:left="0" w:firstLine="0"/>
      </w:pPr>
      <w:rPr>
        <w:rFonts w:hint="eastAsia"/>
      </w:rPr>
    </w:lvl>
    <w:lvl w:ilvl="8" w:tentative="0">
      <w:start w:val="1"/>
      <w:numFmt w:val="bullet"/>
      <w:suff w:val="space"/>
      <w:lvlText w:val=""/>
      <w:lvlJc w:val="left"/>
      <w:pPr>
        <w:ind w:left="0" w:firstLine="0"/>
      </w:pPr>
      <w:rPr>
        <w:rFonts w:hint="eastAsia"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517A0"/>
    <w:rsid w:val="12EF5A07"/>
    <w:rsid w:val="534517A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2694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4"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outlineLvl w:val="2"/>
    </w:pPr>
    <w:rPr>
      <w:rFonts w:ascii="Calibri" w:hAnsi="Calibri" w:eastAsia="宋体" w:cs="Times New Roman"/>
      <w:b/>
      <w:sz w:val="32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2019-10-11T10:33:00Z</dcterms:created>
  <dc:creator>刘晓丽</dc:creator>
  <cp:lastModifiedBy>刘晓丽</cp:lastModifiedBy>
  <dcterms:modified xsi:type="dcterms:W3CDTF">2019-10-11T10:33:47Z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