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4FBF31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1-12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7B1C91BD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4B9D10BB">
      <w:pPr>
        <w:spacing w:line="57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1-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平远县始终以习近平新时代中国特色社会主义思想为根本遵循，坚决贯彻落实省委“1310”具体部署及市委、市政府工作要求，锚定“百千万工程”战略抓手，紧扣“三个百亿”发展目标，全力构建县域现代化产业体系，有效破解发展瓶颈、激活增长动能，推动县域经济持续平稳增长。</w:t>
      </w:r>
    </w:p>
    <w:p w14:paraId="1B61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根据广东省地区生产总值统一核算结果，2025年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平远县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生产总值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109.23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亿元，按不变价格计算，同比增长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6.0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%。其中，第一产业增加值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18.46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5.6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%；第二产业增加值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33.11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16.0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%；第三产业增加值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57.66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亿元，增长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%。</w:t>
      </w:r>
    </w:p>
    <w:p w14:paraId="2ADC186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一、农林牧渔业。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全县农林牧渔业产值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30.06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亿元，同比增长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"/>
        </w:rPr>
        <w:t>6.3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%。其中农业产值</w:t>
      </w:r>
      <w:r>
        <w:rPr>
          <w:rFonts w:ascii="Times New Roman" w:hAnsi="Times New Roman" w:eastAsia="方正仿宋_GBK" w:cs="Times New Roman"/>
          <w:sz w:val="32"/>
          <w:szCs w:val="32"/>
        </w:rPr>
        <w:t>18.64亿元，同比增长6.3%；林业产值2.67亿元，同比增长11.7%；牧业产值5.35亿元，同比增长1.2%；渔业产值1.25亿元，同比增长3.8%；辅助性活动产值2.16亿元，同比增长21.6%。</w:t>
      </w:r>
    </w:p>
    <w:p w14:paraId="19E2910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二、规模以上工业。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全县规上工业产值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71.58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亿元，同比增长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8.9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规上工业增加值同比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增长1.3%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bidi="ar"/>
        </w:rPr>
        <w:t>从三大门类看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，采矿业增加值下降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26.3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%；制造业增加值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增长4.5%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；电力、热力行业增加值增长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15.6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，电子元件及电子专用材料制造增加值增长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20.7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%；非金属矿物制品业增加值下降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39.2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%；稀土金属冶炼增加值增长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%；输配电及控制设备制造增加值下降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27.6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%；酒、饮料和精制茶制造业增加值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增长11.7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%；饲料加工增加值增长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56.7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%；纺织业增加值增长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51.0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%；太阳能发电增加值增长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21.7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%；风力发电增加值增长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12.4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%；汽车零部件增加值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 w:bidi="ar"/>
        </w:rPr>
        <w:t>下降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 w:bidi="ar"/>
        </w:rPr>
        <w:t>54.9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%。</w:t>
      </w:r>
    </w:p>
    <w:p w14:paraId="4DB8FCB1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三、固定资产投资。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全县固定资产投资同比增长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，第一产业投资下降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72.5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%；第二产业投资下降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下降2.5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62.8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27.6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%;房地产开发投资下降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44.1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6.98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3.6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2.66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12.9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%。商品房待售面积1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5.95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11.3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369EF3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四、社会消费品零售总额。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31.92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下降1.2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按限上限下分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，限额以上社会消费品零售总额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3.10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亿元，同比下降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1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7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.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28.81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0.9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21.68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val="en-US" w:eastAsia="zh-CN" w:bidi="ar"/>
        </w:rPr>
        <w:t>下降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2.1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10.23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0.8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27.96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下降1.5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3.96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亿元，</w:t>
      </w:r>
      <w:r>
        <w:rPr>
          <w:rFonts w:hint="eastAsia" w:eastAsia="仿宋" w:cs="Times New Roman"/>
          <w:color w:val="auto"/>
          <w:sz w:val="32"/>
          <w:szCs w:val="40"/>
          <w:lang w:val="en-US" w:eastAsia="zh-CN" w:bidi="ar"/>
        </w:rPr>
        <w:t>增长1.1</w:t>
      </w:r>
      <w:r>
        <w:rPr>
          <w:rFonts w:hint="default" w:ascii="Times New Roman" w:hAnsi="Times New Roman" w:eastAsia="仿宋" w:cs="Times New Roman"/>
          <w:color w:val="auto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。</w:t>
      </w:r>
    </w:p>
    <w:p w14:paraId="41D7EFF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五、一般公共预算收支。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8.91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亿元，增收1.04亿元，比增13.25%。其中：税收4.15亿元，增收0.55亿元，比增15.31%；非税收入4.76亿元，增收0.49亿元，比增11.5%，占比53.41%。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bidi="ar"/>
        </w:rPr>
        <w:t>一般公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共预算支出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37.82亿元，增支0.69亿元，比增1.87%。</w:t>
      </w:r>
    </w:p>
    <w:p w14:paraId="3F0D8450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六、进出口总额。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5067.0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18.9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%。其中：进口总额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835.9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62.6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4231.1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5.4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bidi="ar"/>
        </w:rPr>
        <w:t>%。</w:t>
      </w:r>
    </w:p>
    <w:p w14:paraId="0929E3B0">
      <w:pPr>
        <w:spacing w:line="560" w:lineRule="exact"/>
        <w:ind w:firstLine="5120" w:firstLineChars="1600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</w:p>
    <w:p w14:paraId="00AEE4B8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67ECDF3B">
      <w:pPr>
        <w:spacing w:line="560" w:lineRule="exact"/>
        <w:ind w:firstLine="5120" w:firstLineChars="16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31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23E2BBDC">
      <w:pPr>
        <w:spacing w:line="560" w:lineRule="exact"/>
        <w:ind w:firstLine="5120" w:firstLineChars="160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02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5CBB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0DE7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71B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38A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6553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25AA5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</w:pPr>
    </w:p>
    <w:p w14:paraId="6464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  <w:t>附注：按照我国地区生产总值统一核算和数据发布制度规定，地区生产总值核算包括初步核算和最终核实两个步骤。经最终核实，202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 w:bidi="ar"/>
        </w:rPr>
        <w:t>我县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  <w:t>生产总值现价总量为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109.23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  <w:t>亿元，按不变价格计算，比上年增长</w:t>
      </w:r>
      <w:r>
        <w:rPr>
          <w:rFonts w:hint="eastAsia" w:eastAsia="仿宋" w:cs="Times New Roman"/>
          <w:color w:val="auto"/>
          <w:sz w:val="32"/>
          <w:szCs w:val="32"/>
          <w:lang w:val="en-US" w:eastAsia="zh-CN" w:bidi="ar"/>
        </w:rPr>
        <w:t>6.0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 w:bidi="ar"/>
        </w:rPr>
        <w:t>%。</w:t>
      </w:r>
    </w:p>
    <w:p w14:paraId="0290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</w:p>
    <w:p w14:paraId="672471DE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全县主要经济指标</w:t>
      </w:r>
    </w:p>
    <w:tbl>
      <w:tblPr>
        <w:tblStyle w:val="6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1-12月</w:t>
            </w:r>
          </w:p>
          <w:p w14:paraId="7DCAEB6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109.23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16.03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30.06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-42.8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37.82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21.0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-18.9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p w14:paraId="3136B98C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p w14:paraId="3C32F6EF">
      <w:pPr>
        <w:spacing w:before="31" w:beforeLines="10" w:line="300" w:lineRule="exact"/>
        <w:ind w:firstLine="480" w:firstLineChars="200"/>
        <w:rPr>
          <w:rFonts w:hint="eastAsia" w:ascii="宋体" w:hAnsi="宋体"/>
          <w:color w:val="000000"/>
          <w:sz w:val="24"/>
          <w:szCs w:val="22"/>
        </w:rPr>
      </w:pPr>
    </w:p>
    <w:tbl>
      <w:tblPr>
        <w:tblStyle w:val="6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-4.4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-22.2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-36.8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50.4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26.0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19"/>
              <w:spacing w:line="360" w:lineRule="exact"/>
              <w:ind w:firstLine="980" w:firstLineChars="3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-2.2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-26.3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</w:p>
        </w:tc>
      </w:tr>
    </w:tbl>
    <w:p w14:paraId="4DB98880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工业（一）</w:t>
      </w:r>
    </w:p>
    <w:p w14:paraId="4C601C3E">
      <w:pPr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工业（二）</w:t>
      </w:r>
    </w:p>
    <w:tbl>
      <w:tblPr>
        <w:tblStyle w:val="6"/>
        <w:tblW w:w="9737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1"/>
        <w:gridCol w:w="1708"/>
        <w:gridCol w:w="1516"/>
        <w:gridCol w:w="1712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80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70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16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1-12月</w:t>
            </w:r>
          </w:p>
          <w:p w14:paraId="62ACC56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712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6.54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680569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95.08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2.14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5776.4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18.76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62.6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6.49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-20.4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39.09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14.72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-52.7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1066.4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15.69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-17.0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7106.3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9387.2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37862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390.9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801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70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516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39693</w:t>
            </w:r>
          </w:p>
        </w:tc>
        <w:tc>
          <w:tcPr>
            <w:tcW w:w="1712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110.1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固定资产投资</w:t>
      </w:r>
    </w:p>
    <w:tbl>
      <w:tblPr>
        <w:tblStyle w:val="6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-42.8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-72.5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19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-14.3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-24.8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11.3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-12.9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-33.8</w:t>
            </w:r>
          </w:p>
        </w:tc>
      </w:tr>
    </w:tbl>
    <w:p w14:paraId="6D9C155D">
      <w:pPr>
        <w:spacing w:after="156" w:afterLines="50" w:line="192" w:lineRule="atLeast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912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1166"/>
        <w:gridCol w:w="1678"/>
        <w:gridCol w:w="1470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  <w:jc w:val="center"/>
        </w:trPr>
        <w:tc>
          <w:tcPr>
            <w:tcW w:w="48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116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78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19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1-12月</w:t>
            </w:r>
          </w:p>
          <w:p w14:paraId="58D1089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累计</w:t>
            </w:r>
          </w:p>
        </w:tc>
        <w:tc>
          <w:tcPr>
            <w:tcW w:w="1470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4451FF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</w:p>
          <w:p w14:paraId="587964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31.92</w:t>
            </w: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-17.0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21.68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10.23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27.96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840" w:firstLineChars="3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5067.0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-18.9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835.9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-62.6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700" w:firstLineChars="2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4231.1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48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6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-29.6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8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</w:tr>
    </w:tbl>
    <w:p w14:paraId="4AB20465">
      <w:pPr>
        <w:spacing w:line="5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穝灿砰"/>
          <w:b/>
          <w:color w:val="000000"/>
          <w:sz w:val="44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统计小知识</w:t>
      </w:r>
    </w:p>
    <w:p w14:paraId="5C79598C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</w:rPr>
        <w:t>什么是“四上”企业？</w:t>
      </w:r>
    </w:p>
    <w:p w14:paraId="2752AA40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（一）规模以上工业企业。</w:t>
      </w:r>
    </w:p>
    <w:p w14:paraId="53CBB2DF">
      <w:pPr>
        <w:pStyle w:val="10"/>
        <w:spacing w:line="5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年主营业务收入2000万元及以上的工业法人单位。</w:t>
      </w:r>
    </w:p>
    <w:p w14:paraId="5419EBBD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限额以上批发零售和住宿餐饮企业。</w:t>
      </w:r>
    </w:p>
    <w:p w14:paraId="6D1B1EB8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批发零售业：</w:t>
      </w:r>
      <w:r>
        <w:rPr>
          <w:rFonts w:hint="eastAsia" w:ascii="仿宋" w:hAnsi="仿宋" w:eastAsia="仿宋" w:cs="仿宋"/>
          <w:sz w:val="32"/>
          <w:szCs w:val="32"/>
        </w:rPr>
        <w:t>年主营业务收入2000万元及以上的批发业、年主营业务收入500万元及以上的零售业企业、产业活动单位与个体经营户。</w:t>
      </w:r>
    </w:p>
    <w:p w14:paraId="05A76FC2">
      <w:pPr>
        <w:pStyle w:val="10"/>
        <w:numPr>
          <w:ilvl w:val="0"/>
          <w:numId w:val="2"/>
        </w:numPr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住宿餐饮业：</w:t>
      </w:r>
      <w:r>
        <w:rPr>
          <w:rFonts w:hint="eastAsia" w:ascii="仿宋" w:hAnsi="仿宋" w:eastAsia="仿宋" w:cs="仿宋"/>
          <w:sz w:val="32"/>
          <w:szCs w:val="32"/>
        </w:rPr>
        <w:t>年主营业务收入200万元及以上的住宿和餐饮业企业、产业活动单位与个体经营户。</w:t>
      </w:r>
    </w:p>
    <w:p w14:paraId="180D7136">
      <w:pPr>
        <w:pStyle w:val="10"/>
        <w:numPr>
          <w:ilvl w:val="0"/>
          <w:numId w:val="1"/>
        </w:numPr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有资质的建筑业企业和有开发经营活动的房地产开发经营企业。</w:t>
      </w:r>
    </w:p>
    <w:p w14:paraId="47CE06A8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有资质的建筑业：</w:t>
      </w:r>
      <w:r>
        <w:rPr>
          <w:rFonts w:hint="eastAsia" w:ascii="仿宋" w:hAnsi="仿宋" w:eastAsia="仿宋" w:cs="仿宋"/>
          <w:sz w:val="32"/>
          <w:szCs w:val="32"/>
        </w:rPr>
        <w:t>辖区内的有总承包或专业承包资质的建筑业法人单位。</w:t>
      </w:r>
    </w:p>
    <w:p w14:paraId="722E594A">
      <w:pPr>
        <w:pStyle w:val="10"/>
        <w:numPr>
          <w:ilvl w:val="0"/>
          <w:numId w:val="3"/>
        </w:numPr>
        <w:spacing w:line="500" w:lineRule="exact"/>
        <w:ind w:left="0"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房地产开发经营业：</w:t>
      </w:r>
      <w:r>
        <w:rPr>
          <w:rFonts w:hint="eastAsia" w:ascii="仿宋" w:hAnsi="仿宋" w:eastAsia="仿宋" w:cs="仿宋"/>
          <w:sz w:val="32"/>
          <w:szCs w:val="32"/>
        </w:rPr>
        <w:t>辖区内有开发经营活动的全部房地产开发经营业法人单位。</w:t>
      </w:r>
    </w:p>
    <w:p w14:paraId="4AB1D149">
      <w:pPr>
        <w:pStyle w:val="10"/>
        <w:spacing w:line="50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（四）规模以上服务业企业。</w:t>
      </w:r>
    </w:p>
    <w:p w14:paraId="7515A72D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1.辖区年内营业收入2000万元及以上服务业法人单位。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包括：交通运输、仓储和邮政业，信息传输、软件和信息技术服务业，水利、环境和公共设施管理业三个门类和卫生行业大类。</w:t>
      </w:r>
    </w:p>
    <w:p w14:paraId="5A5E9065">
      <w:pPr>
        <w:pStyle w:val="10"/>
        <w:spacing w:line="5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2.辖区年内营业收入1000万元及以上服务业法人单位。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包括：租赁和商务服务业，科学研究和技术服务业，教育三个门类，以及物业管理、房地产中介服务、房地产租赁经营和其他房地产业四个行业小类。</w:t>
      </w:r>
    </w:p>
    <w:p w14:paraId="1DA469D7">
      <w:pPr>
        <w:pStyle w:val="10"/>
        <w:spacing w:line="500" w:lineRule="exact"/>
        <w:ind w:firstLine="643"/>
        <w:rPr>
          <w:rFonts w:eastAsia="穝灿砰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3.辖区年内营业收入500万元及以上服务业法人单位。</w:t>
      </w:r>
      <w:r>
        <w:rPr>
          <w:rFonts w:hint="eastAsia" w:ascii="仿宋" w:hAnsi="仿宋" w:eastAsia="仿宋" w:cs="仿宋"/>
          <w:sz w:val="32"/>
          <w:szCs w:val="32"/>
        </w:rPr>
        <w:t>包括：居民服务、修理和其他服务业，文化、体育和娱乐业两个门类，以及社会工作行业大类。</w:t>
      </w: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253E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757BAF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B6E6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2ACA276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6F55E"/>
    <w:multiLevelType w:val="singleLevel"/>
    <w:tmpl w:val="AF76F55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1">
    <w:nsid w:val="C8498C8E"/>
    <w:multiLevelType w:val="singleLevel"/>
    <w:tmpl w:val="C8498C8E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abstractNum w:abstractNumId="2">
    <w:nsid w:val="D6B56D32"/>
    <w:multiLevelType w:val="singleLevel"/>
    <w:tmpl w:val="D6B56D32"/>
    <w:lvl w:ilvl="0" w:tentative="0">
      <w:start w:val="2"/>
      <w:numFmt w:val="chineseCounting"/>
      <w:suff w:val="nothing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234716"/>
    <w:rsid w:val="00243C5F"/>
    <w:rsid w:val="00270239"/>
    <w:rsid w:val="002860A6"/>
    <w:rsid w:val="002B1252"/>
    <w:rsid w:val="00370A51"/>
    <w:rsid w:val="003E2C7F"/>
    <w:rsid w:val="00414BC8"/>
    <w:rsid w:val="00473031"/>
    <w:rsid w:val="004B1C47"/>
    <w:rsid w:val="004B2C10"/>
    <w:rsid w:val="006262B8"/>
    <w:rsid w:val="00637FED"/>
    <w:rsid w:val="006434CE"/>
    <w:rsid w:val="006437C5"/>
    <w:rsid w:val="00644B7F"/>
    <w:rsid w:val="006E4142"/>
    <w:rsid w:val="007036F3"/>
    <w:rsid w:val="0071665B"/>
    <w:rsid w:val="00727BA4"/>
    <w:rsid w:val="00735C7E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A35077"/>
    <w:rsid w:val="00A45EB3"/>
    <w:rsid w:val="00A511F1"/>
    <w:rsid w:val="00A60BF8"/>
    <w:rsid w:val="00A65FA9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AB3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2EA1B47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72110B"/>
    <w:rsid w:val="0A8F2003"/>
    <w:rsid w:val="0A902F2B"/>
    <w:rsid w:val="0A956DB1"/>
    <w:rsid w:val="0A992BCA"/>
    <w:rsid w:val="0AA45A88"/>
    <w:rsid w:val="0AA90A8A"/>
    <w:rsid w:val="0AC57F95"/>
    <w:rsid w:val="0AFD11B5"/>
    <w:rsid w:val="0B06368F"/>
    <w:rsid w:val="0B074631"/>
    <w:rsid w:val="0B0B0140"/>
    <w:rsid w:val="0B194D76"/>
    <w:rsid w:val="0B1957C1"/>
    <w:rsid w:val="0B1D711B"/>
    <w:rsid w:val="0B1E5445"/>
    <w:rsid w:val="0B2D12C3"/>
    <w:rsid w:val="0B38521C"/>
    <w:rsid w:val="0B39588D"/>
    <w:rsid w:val="0B3F57B0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169DD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36163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6F255F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12161"/>
    <w:rsid w:val="131A02E9"/>
    <w:rsid w:val="131E57EC"/>
    <w:rsid w:val="1330703F"/>
    <w:rsid w:val="13337B71"/>
    <w:rsid w:val="133A1514"/>
    <w:rsid w:val="134C510D"/>
    <w:rsid w:val="1351694B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B78F3"/>
    <w:rsid w:val="1A8A4071"/>
    <w:rsid w:val="1A9311FE"/>
    <w:rsid w:val="1A9F5AEC"/>
    <w:rsid w:val="1AA7158E"/>
    <w:rsid w:val="1AF35086"/>
    <w:rsid w:val="1AF93F3E"/>
    <w:rsid w:val="1B0E226C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F26B32"/>
    <w:rsid w:val="1F060770"/>
    <w:rsid w:val="1F0A6460"/>
    <w:rsid w:val="1F144969"/>
    <w:rsid w:val="1F4C6A0D"/>
    <w:rsid w:val="1F6168F7"/>
    <w:rsid w:val="1FA74747"/>
    <w:rsid w:val="1FA77D59"/>
    <w:rsid w:val="1FC760F8"/>
    <w:rsid w:val="1FD47844"/>
    <w:rsid w:val="1FFE5062"/>
    <w:rsid w:val="20165968"/>
    <w:rsid w:val="2018298D"/>
    <w:rsid w:val="20232D1B"/>
    <w:rsid w:val="20570270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E4613"/>
    <w:rsid w:val="29543032"/>
    <w:rsid w:val="29627DB7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191269"/>
    <w:rsid w:val="2C2867DD"/>
    <w:rsid w:val="2C2A4AA2"/>
    <w:rsid w:val="2C457C37"/>
    <w:rsid w:val="2C4D14C0"/>
    <w:rsid w:val="2C52071C"/>
    <w:rsid w:val="2C684675"/>
    <w:rsid w:val="2C78032F"/>
    <w:rsid w:val="2C79146C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70C57"/>
    <w:rsid w:val="2E86631B"/>
    <w:rsid w:val="2E896288"/>
    <w:rsid w:val="2E917D14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6131F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C499F"/>
    <w:rsid w:val="3300495B"/>
    <w:rsid w:val="3305684F"/>
    <w:rsid w:val="330823F7"/>
    <w:rsid w:val="330A6248"/>
    <w:rsid w:val="33212546"/>
    <w:rsid w:val="33235AAF"/>
    <w:rsid w:val="3323670F"/>
    <w:rsid w:val="33372B77"/>
    <w:rsid w:val="333918AA"/>
    <w:rsid w:val="333D7CE2"/>
    <w:rsid w:val="334154A4"/>
    <w:rsid w:val="334C5399"/>
    <w:rsid w:val="335F3C12"/>
    <w:rsid w:val="336A0712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B44F02"/>
    <w:rsid w:val="3BEC396B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C7116"/>
    <w:rsid w:val="3CBC733C"/>
    <w:rsid w:val="3CBE5BC4"/>
    <w:rsid w:val="3CD15E35"/>
    <w:rsid w:val="3CD93912"/>
    <w:rsid w:val="3CDE7D53"/>
    <w:rsid w:val="3CE6525D"/>
    <w:rsid w:val="3CED2E26"/>
    <w:rsid w:val="3D042B4A"/>
    <w:rsid w:val="3D0E6950"/>
    <w:rsid w:val="3D1141E0"/>
    <w:rsid w:val="3D12086E"/>
    <w:rsid w:val="3D1621B5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8B346B"/>
    <w:rsid w:val="3FA328B1"/>
    <w:rsid w:val="3FAF4EE6"/>
    <w:rsid w:val="3FCE320D"/>
    <w:rsid w:val="3FD63000"/>
    <w:rsid w:val="3FDC2B4A"/>
    <w:rsid w:val="3FEE33D3"/>
    <w:rsid w:val="40063E16"/>
    <w:rsid w:val="40081C5C"/>
    <w:rsid w:val="400E7027"/>
    <w:rsid w:val="40104C12"/>
    <w:rsid w:val="403837A1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684B77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23070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AFC6FA5"/>
    <w:rsid w:val="4B235C7B"/>
    <w:rsid w:val="4B2579EA"/>
    <w:rsid w:val="4B334AEF"/>
    <w:rsid w:val="4B3927E6"/>
    <w:rsid w:val="4B431439"/>
    <w:rsid w:val="4B4D0E46"/>
    <w:rsid w:val="4B722D38"/>
    <w:rsid w:val="4B78313B"/>
    <w:rsid w:val="4B7F716D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1534FA"/>
    <w:rsid w:val="4F164E9E"/>
    <w:rsid w:val="4F291041"/>
    <w:rsid w:val="4F2E4BC7"/>
    <w:rsid w:val="4F3B240C"/>
    <w:rsid w:val="4F4035F5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D90BB3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3FA7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C0ABA"/>
    <w:rsid w:val="60A61E4C"/>
    <w:rsid w:val="60AF5516"/>
    <w:rsid w:val="60D422E8"/>
    <w:rsid w:val="610752FD"/>
    <w:rsid w:val="611346AA"/>
    <w:rsid w:val="611D3A1D"/>
    <w:rsid w:val="611D7BCE"/>
    <w:rsid w:val="611E4CE6"/>
    <w:rsid w:val="6133455F"/>
    <w:rsid w:val="613F06B0"/>
    <w:rsid w:val="616A3C17"/>
    <w:rsid w:val="617E0FFB"/>
    <w:rsid w:val="61800A39"/>
    <w:rsid w:val="61855053"/>
    <w:rsid w:val="618D27A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AE0E22"/>
    <w:rsid w:val="64B05C44"/>
    <w:rsid w:val="64BD2C0E"/>
    <w:rsid w:val="64C841A1"/>
    <w:rsid w:val="64DC0D44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7E2108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0E1367"/>
    <w:rsid w:val="752F0EDE"/>
    <w:rsid w:val="754E4169"/>
    <w:rsid w:val="75632D8F"/>
    <w:rsid w:val="756614E1"/>
    <w:rsid w:val="757751D0"/>
    <w:rsid w:val="7579607F"/>
    <w:rsid w:val="75823424"/>
    <w:rsid w:val="75A8031E"/>
    <w:rsid w:val="75AE0C60"/>
    <w:rsid w:val="75B77A23"/>
    <w:rsid w:val="75C4785E"/>
    <w:rsid w:val="75CC7117"/>
    <w:rsid w:val="75DA3DEA"/>
    <w:rsid w:val="75F357FE"/>
    <w:rsid w:val="75FE5504"/>
    <w:rsid w:val="760471D2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7070240"/>
    <w:rsid w:val="7711725F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3749C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B3CC7"/>
    <w:rsid w:val="78AA0B60"/>
    <w:rsid w:val="78AE6F28"/>
    <w:rsid w:val="78BD2932"/>
    <w:rsid w:val="78CC4CAF"/>
    <w:rsid w:val="78CD2F3D"/>
    <w:rsid w:val="78D82EDF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3503CB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1708</Words>
  <Characters>2237</Characters>
  <Lines>30</Lines>
  <Paragraphs>8</Paragraphs>
  <TotalTime>4</TotalTime>
  <ScaleCrop>false</ScaleCrop>
  <LinksUpToDate>false</LinksUpToDate>
  <CharactersWithSpaces>2237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2025-10-30T07:21:00Z</cp:lastPrinted>
  <dcterms:modified xsi:type="dcterms:W3CDTF">2026-01-30T03:49:59Z</dcterms:modified>
  <dc:title>平远县2016年1～12月经济运行简况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A4937CA41BDF495AAC3BE45042D3555C_13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