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</w:rPr>
        <w:t>，全县以习近平新时代中国特色社会主义思想为指导，全面贯彻党的二十大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eastAsia" w:eastAsia="仿宋" w:cs="Times New Roman"/>
          <w:sz w:val="32"/>
          <w:szCs w:val="32"/>
          <w:lang w:val="en-US" w:eastAsia="zh-CN"/>
        </w:rPr>
        <w:t>二十届历次全会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11.20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2"/>
      <w:bookmarkStart w:id="2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增长7.7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增长3.0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增长6.2%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27.3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</w:t>
      </w:r>
      <w:bookmarkStart w:id="5" w:name="_GoBack"/>
      <w:bookmarkEnd w:id="5"/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83.2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下降43.1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49.5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90.2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63.7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增长14.8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增长581.6%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增长21.1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增长25616.7%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下降70.2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113.5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下降70.2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69.4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47.22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0.69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38.7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0.26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41.5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15.11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下降25.3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6.54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0.48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6.06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4.13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增长0.4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2.41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增长0.6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5.76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0.78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6.0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1.87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亿元，比增38.78%。其中：税收0.84亿元，减收0.24亿元，比减22.01%；非税收入1.04亿元，增收0.76亿元，比增2.75倍，占比55.31%。一般公共预算支出6.89亿元，增支0.92亿元，比增15.41%。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1-2月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</w:t>
      </w:r>
      <w:bookmarkStart w:id="3" w:name="_Hlk206501822"/>
      <w:bookmarkStart w:id="4" w:name="OLE_LINK8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601.2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94.0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12.0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507.3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1-2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-48.8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6.89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-15.6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-23.1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-76.2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-49.2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-38.1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-39.7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121187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982.3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1066.8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197.2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-48.8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25616.7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-76.4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-38.7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-51.6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-25.3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-41.5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-32.1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6.51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-11.6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601.2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591.6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-12.0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507.3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484.8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133.3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</w:tbl>
    <w:p w14:paraId="61490128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1E765C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8474C2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6495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BF3FAA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26858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4E4846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264C5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BA2C13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159CA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2427F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EE290A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7E6890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2052</Words>
  <Characters>2733</Characters>
  <Lines>8</Lines>
  <Paragraphs>2</Paragraphs>
  <TotalTime>2</TotalTime>
  <ScaleCrop>false</ScaleCrop>
  <LinksUpToDate>false</LinksUpToDate>
  <CharactersWithSpaces>2774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2026-03-25T07:02:00Z</cp:lastPrinted>
  <dcterms:modified xsi:type="dcterms:W3CDTF">2026-03-26T01:19:11Z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E5B9A83309CF460E9617E4E508A96521_13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