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0C0C0C"/>
        </w:rPr>
      </w:pPr>
    </w:p>
    <w:p>
      <w:pPr>
        <w:rPr>
          <w:rFonts w:hint="default" w:ascii="Times New Roman" w:hAnsi="Times New Roman" w:cs="Times New Roman"/>
          <w:color w:val="0C0C0C"/>
        </w:rPr>
      </w:pPr>
    </w:p>
    <w:p>
      <w:pPr>
        <w:jc w:val="center"/>
        <w:outlineLvl w:val="0"/>
        <w:rPr>
          <w:rFonts w:hint="default" w:ascii="Times New Roman" w:hAnsi="Times New Roman" w:eastAsia="文星标宋" w:cs="Times New Roman"/>
          <w:bCs/>
          <w:color w:val="0C0C0C"/>
          <w:sz w:val="44"/>
          <w:szCs w:val="44"/>
        </w:rPr>
      </w:pPr>
      <w:bookmarkStart w:id="0" w:name="_Toc12782"/>
      <w:r>
        <w:rPr>
          <w:rFonts w:hint="default" w:ascii="Times New Roman" w:hAnsi="Times New Roman" w:eastAsia="文星标宋" w:cs="Times New Roman"/>
          <w:bCs/>
          <w:color w:val="0C0C0C"/>
          <w:sz w:val="44"/>
          <w:szCs w:val="44"/>
          <w:lang w:eastAsia="zh-CN"/>
        </w:rPr>
        <w:t>平远县</w:t>
      </w:r>
      <w:r>
        <w:rPr>
          <w:rFonts w:hint="default" w:ascii="Times New Roman" w:hAnsi="Times New Roman" w:eastAsia="文星标宋" w:cs="Times New Roman"/>
          <w:bCs/>
          <w:color w:val="0C0C0C"/>
          <w:sz w:val="44"/>
          <w:szCs w:val="44"/>
        </w:rPr>
        <w:t>养老服务体系建设“十四五”规划</w:t>
      </w:r>
      <w:bookmarkEnd w:id="0"/>
    </w:p>
    <w:p>
      <w:pPr>
        <w:pStyle w:val="13"/>
        <w:ind w:left="0" w:leftChars="0" w:firstLine="0" w:firstLineChars="0"/>
        <w:jc w:val="center"/>
        <w:rPr>
          <w:rFonts w:hint="eastAsia" w:ascii="Times New Roman" w:hAnsi="Times New Roman" w:eastAsia="宋体" w:cs="Times New Roman"/>
          <w:color w:val="0C0C0C"/>
          <w:lang w:eastAsia="zh-CN"/>
        </w:rPr>
      </w:pPr>
      <w:r>
        <w:rPr>
          <w:rFonts w:hint="eastAsia" w:hAnsi="Times New Roman" w:cs="Times New Roman"/>
          <w:color w:val="0C0C0C"/>
          <w:lang w:eastAsia="zh-CN"/>
        </w:rPr>
        <w:t>（</w:t>
      </w:r>
      <w:r>
        <w:rPr>
          <w:rFonts w:hint="eastAsia" w:hAnsi="Times New Roman" w:cs="Times New Roman"/>
          <w:color w:val="0C0C0C"/>
          <w:lang w:val="en-US" w:eastAsia="zh-CN"/>
        </w:rPr>
        <w:t>征求意见稿</w:t>
      </w:r>
      <w:r>
        <w:rPr>
          <w:rFonts w:hint="eastAsia" w:hAnsi="Times New Roman" w:cs="Times New Roman"/>
          <w:color w:val="0C0C0C"/>
          <w:lang w:eastAsia="zh-CN"/>
        </w:rPr>
        <w:t>）</w:t>
      </w:r>
    </w:p>
    <w:p>
      <w:pPr>
        <w:pStyle w:val="13"/>
        <w:ind w:firstLine="0"/>
        <w:rPr>
          <w:rFonts w:hint="default" w:ascii="Times New Roman" w:hAnsi="Times New Roman" w:cs="Times New Roman"/>
          <w:color w:val="0C0C0C"/>
        </w:rPr>
      </w:pPr>
    </w:p>
    <w:p>
      <w:pPr>
        <w:pStyle w:val="13"/>
        <w:ind w:firstLine="0"/>
        <w:rPr>
          <w:rFonts w:hint="default" w:ascii="Times New Roman" w:hAnsi="Times New Roman" w:cs="Times New Roman"/>
          <w:color w:val="0C0C0C"/>
        </w:rPr>
      </w:pPr>
    </w:p>
    <w:p>
      <w:pPr>
        <w:pStyle w:val="13"/>
        <w:ind w:firstLine="0"/>
        <w:rPr>
          <w:rFonts w:hint="default" w:ascii="Times New Roman" w:hAnsi="Times New Roman" w:cs="Times New Roman"/>
          <w:color w:val="0C0C0C"/>
        </w:rPr>
      </w:pPr>
    </w:p>
    <w:p>
      <w:pPr>
        <w:pStyle w:val="13"/>
        <w:ind w:firstLine="0"/>
        <w:rPr>
          <w:rFonts w:hint="default" w:ascii="Times New Roman" w:hAnsi="Times New Roman" w:eastAsia="文星仿宋" w:cs="Times New Roman"/>
          <w:bCs/>
          <w:color w:val="0C0C0C"/>
          <w:szCs w:val="32"/>
        </w:rPr>
      </w:pPr>
    </w:p>
    <w:p>
      <w:pPr>
        <w:pStyle w:val="13"/>
        <w:ind w:firstLine="0"/>
        <w:rPr>
          <w:rFonts w:hint="default" w:ascii="Times New Roman" w:hAnsi="Times New Roman" w:eastAsia="文星仿宋" w:cs="Times New Roman"/>
          <w:bCs/>
          <w:color w:val="0C0C0C"/>
          <w:szCs w:val="32"/>
        </w:rPr>
      </w:pPr>
    </w:p>
    <w:p>
      <w:pPr>
        <w:pStyle w:val="13"/>
        <w:ind w:firstLine="0"/>
        <w:rPr>
          <w:rFonts w:hint="default" w:ascii="Times New Roman" w:hAnsi="Times New Roman" w:eastAsia="文星仿宋" w:cs="Times New Roman"/>
          <w:bCs/>
          <w:color w:val="0C0C0C"/>
          <w:szCs w:val="32"/>
        </w:rPr>
      </w:pPr>
    </w:p>
    <w:p>
      <w:pPr>
        <w:pStyle w:val="13"/>
        <w:ind w:firstLine="0"/>
        <w:rPr>
          <w:rFonts w:hint="default" w:ascii="Times New Roman" w:hAnsi="Times New Roman" w:eastAsia="文星仿宋" w:cs="Times New Roman"/>
          <w:bCs/>
          <w:color w:val="0C0C0C"/>
          <w:szCs w:val="32"/>
        </w:rPr>
      </w:pPr>
    </w:p>
    <w:p>
      <w:pPr>
        <w:pStyle w:val="13"/>
        <w:ind w:firstLine="0"/>
        <w:rPr>
          <w:rFonts w:hint="default" w:ascii="Times New Roman" w:hAnsi="Times New Roman" w:eastAsia="文星仿宋" w:cs="Times New Roman"/>
          <w:bCs/>
          <w:color w:val="0C0C0C"/>
          <w:szCs w:val="32"/>
        </w:rPr>
      </w:pPr>
    </w:p>
    <w:p>
      <w:pPr>
        <w:pStyle w:val="13"/>
        <w:ind w:firstLine="0"/>
        <w:rPr>
          <w:rFonts w:hint="default" w:ascii="Times New Roman" w:hAnsi="Times New Roman" w:eastAsia="文星仿宋" w:cs="Times New Roman"/>
          <w:bCs/>
          <w:color w:val="0C0C0C"/>
          <w:szCs w:val="32"/>
        </w:rPr>
      </w:pPr>
    </w:p>
    <w:p>
      <w:pPr>
        <w:pStyle w:val="13"/>
        <w:ind w:firstLine="0"/>
        <w:rPr>
          <w:rFonts w:hint="default" w:ascii="Times New Roman" w:hAnsi="Times New Roman" w:eastAsia="文星仿宋" w:cs="Times New Roman"/>
          <w:bCs/>
          <w:color w:val="0C0C0C"/>
          <w:szCs w:val="32"/>
        </w:rPr>
      </w:pPr>
    </w:p>
    <w:p>
      <w:pPr>
        <w:jc w:val="center"/>
        <w:rPr>
          <w:rFonts w:hint="eastAsia" w:ascii="Times New Roman" w:hAnsi="Times New Roman" w:eastAsia="文星仿宋" w:cs="Times New Roman"/>
          <w:bCs/>
          <w:color w:val="0C0C0C"/>
          <w:sz w:val="32"/>
          <w:szCs w:val="32"/>
          <w:lang w:eastAsia="zh-CN"/>
        </w:rPr>
      </w:pPr>
      <w:r>
        <w:rPr>
          <w:rFonts w:hint="default" w:ascii="Times New Roman" w:hAnsi="Times New Roman" w:eastAsia="文星仿宋" w:cs="Times New Roman"/>
          <w:bCs/>
          <w:color w:val="0C0C0C"/>
          <w:sz w:val="32"/>
          <w:szCs w:val="32"/>
          <w:lang w:eastAsia="zh-CN"/>
        </w:rPr>
        <w:t>平远县</w:t>
      </w:r>
      <w:r>
        <w:rPr>
          <w:rFonts w:hint="eastAsia" w:ascii="Times New Roman" w:hAnsi="Times New Roman" w:eastAsia="文星仿宋" w:cs="Times New Roman"/>
          <w:bCs/>
          <w:color w:val="0C0C0C"/>
          <w:sz w:val="32"/>
          <w:szCs w:val="32"/>
          <w:lang w:val="en-US" w:eastAsia="zh-CN"/>
        </w:rPr>
        <w:t>民政局</w:t>
      </w:r>
    </w:p>
    <w:p>
      <w:pPr>
        <w:jc w:val="center"/>
        <w:rPr>
          <w:rFonts w:hint="default" w:ascii="Times New Roman" w:hAnsi="Times New Roman" w:eastAsia="文星仿宋" w:cs="Times New Roman"/>
          <w:bCs/>
          <w:color w:val="0C0C0C"/>
          <w:sz w:val="32"/>
          <w:szCs w:val="32"/>
        </w:rPr>
        <w:sectPr>
          <w:footerReference r:id="rId3" w:type="default"/>
          <w:pgSz w:w="11906" w:h="16838"/>
          <w:pgMar w:top="2098" w:right="1474" w:bottom="1984" w:left="1587" w:header="851" w:footer="992" w:gutter="0"/>
          <w:pgNumType w:fmt="numberInDash"/>
          <w:cols w:space="720" w:num="1"/>
          <w:docGrid w:type="lines" w:linePitch="613" w:charSpace="0"/>
        </w:sectPr>
      </w:pPr>
      <w:r>
        <w:rPr>
          <w:rFonts w:hint="default" w:ascii="Times New Roman" w:hAnsi="Times New Roman" w:eastAsia="文星仿宋" w:cs="Times New Roman"/>
          <w:bCs/>
          <w:color w:val="0C0C0C"/>
          <w:sz w:val="32"/>
          <w:szCs w:val="32"/>
        </w:rPr>
        <w:t>20</w:t>
      </w:r>
      <w:r>
        <w:rPr>
          <w:rFonts w:hint="default" w:ascii="Times New Roman" w:hAnsi="Times New Roman" w:eastAsia="文星仿宋" w:cs="Times New Roman"/>
          <w:bCs/>
          <w:color w:val="0C0C0C"/>
          <w:sz w:val="32"/>
          <w:szCs w:val="32"/>
          <w:lang w:val="en-US" w:eastAsia="zh-CN"/>
        </w:rPr>
        <w:t>22</w:t>
      </w:r>
      <w:r>
        <w:rPr>
          <w:rFonts w:hint="default" w:ascii="Times New Roman" w:hAnsi="Times New Roman" w:eastAsia="文星仿宋" w:cs="Times New Roman"/>
          <w:bCs/>
          <w:color w:val="0C0C0C"/>
          <w:sz w:val="32"/>
          <w:szCs w:val="32"/>
        </w:rPr>
        <w:t>年</w:t>
      </w:r>
      <w:r>
        <w:rPr>
          <w:rFonts w:hint="eastAsia" w:ascii="Times New Roman" w:hAnsi="Times New Roman" w:eastAsia="文星仿宋" w:cs="Times New Roman"/>
          <w:bCs/>
          <w:color w:val="0C0C0C"/>
          <w:sz w:val="32"/>
          <w:szCs w:val="32"/>
          <w:lang w:val="en-US" w:eastAsia="zh-CN"/>
        </w:rPr>
        <w:t>9</w:t>
      </w:r>
      <w:r>
        <w:rPr>
          <w:rFonts w:hint="default" w:ascii="Times New Roman" w:hAnsi="Times New Roman" w:eastAsia="文星仿宋" w:cs="Times New Roman"/>
          <w:bCs/>
          <w:color w:val="0C0C0C"/>
          <w:sz w:val="32"/>
          <w:szCs w:val="32"/>
        </w:rPr>
        <w:t>月</w:t>
      </w:r>
    </w:p>
    <w:p>
      <w:pPr>
        <w:keepNext w:val="0"/>
        <w:keepLines w:val="0"/>
        <w:pageBreakBefore w:val="0"/>
        <w:widowControl w:val="0"/>
        <w:kinsoku/>
        <w:wordWrap/>
        <w:overflowPunct/>
        <w:topLinePunct w:val="0"/>
        <w:autoSpaceDE/>
        <w:autoSpaceDN/>
        <w:bidi w:val="0"/>
        <w:adjustRightInd/>
        <w:snapToGrid/>
        <w:spacing w:before="616" w:beforeLines="100" w:after="616" w:afterLines="100" w:line="360" w:lineRule="auto"/>
        <w:jc w:val="center"/>
        <w:textAlignment w:val="auto"/>
        <w:rPr>
          <w:rFonts w:hint="default" w:ascii="Times New Roman" w:hAnsi="Times New Roman" w:eastAsia="文星黑体" w:cs="Times New Roman"/>
          <w:bCs/>
          <w:color w:val="0C0C0C"/>
          <w:sz w:val="44"/>
          <w:szCs w:val="44"/>
        </w:rPr>
      </w:pPr>
      <w:r>
        <w:rPr>
          <w:rFonts w:hint="default" w:ascii="Times New Roman" w:hAnsi="Times New Roman" w:eastAsia="文星黑体" w:cs="Times New Roman"/>
          <w:bCs/>
          <w:color w:val="0C0C0C"/>
          <w:sz w:val="44"/>
          <w:szCs w:val="44"/>
        </w:rPr>
        <w:t>目 录</w:t>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 w:val="0"/>
          <w:bCs w:val="0"/>
          <w:color w:val="0C0C0C"/>
          <w:sz w:val="32"/>
          <w:szCs w:val="32"/>
        </w:rPr>
        <w:fldChar w:fldCharType="begin"/>
      </w:r>
      <w:r>
        <w:rPr>
          <w:rFonts w:hint="default" w:ascii="Times New Roman" w:hAnsi="Times New Roman" w:cs="Times New Roman"/>
          <w:b w:val="0"/>
          <w:bCs w:val="0"/>
          <w:color w:val="0C0C0C"/>
          <w:sz w:val="32"/>
          <w:szCs w:val="32"/>
        </w:rPr>
        <w:instrText xml:space="preserve">TOC \o "1-3" \h \u </w:instrText>
      </w:r>
      <w:r>
        <w:rPr>
          <w:rFonts w:hint="default" w:ascii="Times New Roman" w:hAnsi="Times New Roman" w:cs="Times New Roman"/>
          <w:b w:val="0"/>
          <w:bCs w:val="0"/>
          <w:color w:val="0C0C0C"/>
          <w:sz w:val="32"/>
          <w:szCs w:val="32"/>
        </w:rPr>
        <w:fldChar w:fldCharType="separate"/>
      </w: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_Toc21104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第一章</w:t>
      </w:r>
      <w:bookmarkStart w:id="257" w:name="_GoBack"/>
      <w:r>
        <w:rPr>
          <w:rFonts w:hint="default" w:ascii="Times New Roman" w:hAnsi="Times New Roman" w:eastAsia="文星标宋" w:cs="Times New Roman"/>
          <w:bCs/>
          <w:color w:val="0C0C0C"/>
          <w:sz w:val="32"/>
          <w:szCs w:val="32"/>
          <w:lang w:val="en-US" w:eastAsia="zh-CN"/>
        </w:rPr>
        <w:t xml:space="preserve"> </w:t>
      </w:r>
      <w:bookmarkEnd w:id="257"/>
      <w:r>
        <w:rPr>
          <w:rFonts w:hint="default" w:ascii="Times New Roman" w:hAnsi="Times New Roman" w:eastAsia="文星标宋" w:cs="Times New Roman"/>
          <w:bCs/>
          <w:color w:val="0C0C0C"/>
          <w:sz w:val="32"/>
          <w:szCs w:val="32"/>
        </w:rPr>
        <w:t>开启</w:t>
      </w:r>
      <w:r>
        <w:rPr>
          <w:rFonts w:hint="default" w:ascii="Times New Roman" w:hAnsi="Times New Roman" w:eastAsia="文星标宋" w:cs="Times New Roman"/>
          <w:bCs/>
          <w:color w:val="0C0C0C"/>
          <w:sz w:val="32"/>
          <w:szCs w:val="32"/>
          <w:lang w:eastAsia="zh-CN"/>
        </w:rPr>
        <w:t>平远</w:t>
      </w:r>
      <w:r>
        <w:rPr>
          <w:rFonts w:hint="default" w:ascii="Times New Roman" w:hAnsi="Times New Roman" w:eastAsia="文星标宋" w:cs="Times New Roman"/>
          <w:bCs/>
          <w:color w:val="0C0C0C"/>
          <w:sz w:val="32"/>
          <w:szCs w:val="32"/>
        </w:rPr>
        <w:t>特色养老服务体系现代化建设新征程</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_Toc21104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_Toc21514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发展基础</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_Toc21514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_Toc31756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w:t>
      </w:r>
      <w:r>
        <w:rPr>
          <w:rFonts w:hint="default" w:ascii="Times New Roman" w:hAnsi="Times New Roman" w:eastAsia="文星楷体" w:cs="Times New Roman"/>
          <w:bCs/>
          <w:color w:val="0C0C0C"/>
          <w:sz w:val="32"/>
          <w:szCs w:val="32"/>
          <w:lang w:val="en-US" w:eastAsia="zh-CN"/>
        </w:rPr>
        <w:t>二</w:t>
      </w:r>
      <w:r>
        <w:rPr>
          <w:rFonts w:hint="default" w:ascii="Times New Roman" w:hAnsi="Times New Roman" w:eastAsia="文星楷体" w:cs="Times New Roman"/>
          <w:bCs/>
          <w:color w:val="0C0C0C"/>
          <w:sz w:val="32"/>
          <w:szCs w:val="32"/>
          <w:lang w:eastAsia="zh-CN"/>
        </w:rPr>
        <w:t>节</w:t>
      </w:r>
      <w:r>
        <w:rPr>
          <w:rFonts w:hint="default" w:ascii="Times New Roman" w:hAnsi="Times New Roman" w:eastAsia="文星楷体" w:cs="Times New Roman"/>
          <w:bCs/>
          <w:color w:val="0C0C0C"/>
          <w:sz w:val="32"/>
          <w:szCs w:val="32"/>
          <w:lang w:val="en-US" w:eastAsia="zh-CN"/>
        </w:rPr>
        <w:t xml:space="preserve"> 形势机遇</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_Toc31756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5</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_Toc15109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总体要求</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_Toc15109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7</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_Toc24781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val="en-US" w:eastAsia="zh-CN"/>
        </w:rPr>
        <w:t>第四节 发展目标</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_Toc24781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_Toc28741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二</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w:t>
      </w:r>
      <w:r>
        <w:rPr>
          <w:rFonts w:hint="default" w:ascii="Times New Roman" w:hAnsi="Times New Roman" w:eastAsia="文星标宋" w:cs="Times New Roman"/>
          <w:bCs/>
          <w:color w:val="0C0C0C"/>
          <w:sz w:val="32"/>
          <w:szCs w:val="32"/>
          <w:lang w:eastAsia="zh-CN"/>
        </w:rPr>
        <w:t>筑牢</w:t>
      </w:r>
      <w:r>
        <w:rPr>
          <w:rFonts w:hint="default" w:ascii="Times New Roman" w:hAnsi="Times New Roman" w:eastAsia="文星标宋" w:cs="Times New Roman"/>
          <w:bCs/>
          <w:color w:val="0C0C0C"/>
          <w:sz w:val="32"/>
          <w:szCs w:val="32"/>
        </w:rPr>
        <w:t>兜底性普惠性养老服务供给</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_Toc28741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_Toc1183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建立基本养老服务制度</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_Toc1183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10</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_Toc28604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推进</w:t>
      </w:r>
      <w:r>
        <w:rPr>
          <w:rFonts w:hint="default" w:ascii="Times New Roman" w:hAnsi="Times New Roman" w:eastAsia="文星楷体" w:cs="Times New Roman"/>
          <w:bCs/>
          <w:color w:val="0C0C0C"/>
          <w:sz w:val="32"/>
          <w:szCs w:val="32"/>
          <w:lang w:eastAsia="zh-CN"/>
        </w:rPr>
        <w:t>公办养老机构提质增效</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_Toc28604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11</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_Toc9362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促进居家社区养老服务扩面</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_Toc9362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13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_Toc6012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第四节</w:t>
      </w:r>
      <w:r>
        <w:rPr>
          <w:rFonts w:hint="default" w:ascii="Times New Roman" w:hAnsi="Times New Roman" w:eastAsia="文星楷体" w:cs="Times New Roman"/>
          <w:bCs/>
          <w:color w:val="0C0C0C"/>
          <w:sz w:val="32"/>
          <w:szCs w:val="32"/>
          <w:lang w:val="en-US" w:eastAsia="zh-CN"/>
        </w:rPr>
        <w:t xml:space="preserve"> 提高医养结合服务转型升级</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_Toc6012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16</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_Toc28333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第五节</w:t>
      </w:r>
      <w:r>
        <w:rPr>
          <w:rFonts w:hint="default" w:ascii="Times New Roman" w:hAnsi="Times New Roman" w:eastAsia="文星楷体" w:cs="Times New Roman"/>
          <w:bCs/>
          <w:color w:val="0C0C0C"/>
          <w:sz w:val="32"/>
          <w:szCs w:val="32"/>
          <w:lang w:val="en-US" w:eastAsia="zh-CN"/>
        </w:rPr>
        <w:t xml:space="preserve"> 提高社会办普惠型养老服务水平</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_Toc28333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19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_Toc27838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三</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w:t>
      </w:r>
      <w:r>
        <w:rPr>
          <w:rFonts w:hint="default" w:ascii="Times New Roman" w:hAnsi="Times New Roman" w:eastAsia="文星标宋" w:cs="Times New Roman"/>
          <w:bCs/>
          <w:color w:val="0C0C0C"/>
          <w:sz w:val="32"/>
          <w:szCs w:val="32"/>
        </w:rPr>
        <w:t>夯实养老事业与产业协同发展基础</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_Toc27838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19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_Toc27978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夯实养老服务基础设施建设</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_Toc27978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20</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_Toc10843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加强</w:t>
      </w:r>
      <w:r>
        <w:rPr>
          <w:rFonts w:hint="default" w:ascii="Times New Roman" w:hAnsi="Times New Roman" w:eastAsia="文星楷体" w:cs="Times New Roman"/>
          <w:bCs/>
          <w:color w:val="0C0C0C"/>
          <w:sz w:val="32"/>
          <w:szCs w:val="32"/>
          <w:lang w:eastAsia="zh-CN"/>
        </w:rPr>
        <w:t>资金要素保障</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_Toc10843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22</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_Toc27197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提高科技应用水平</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_Toc27197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_Toc27588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第四节</w:t>
      </w:r>
      <w:r>
        <w:rPr>
          <w:rFonts w:hint="default" w:ascii="Times New Roman" w:hAnsi="Times New Roman" w:eastAsia="文星楷体" w:cs="Times New Roman"/>
          <w:bCs/>
          <w:color w:val="0C0C0C"/>
          <w:sz w:val="32"/>
          <w:szCs w:val="32"/>
          <w:lang w:val="en-US" w:eastAsia="zh-CN"/>
        </w:rPr>
        <w:t xml:space="preserve"> 增强应急保障能力</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_Toc27588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24</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_Toc28765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四</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w:t>
      </w:r>
      <w:r>
        <w:rPr>
          <w:rFonts w:hint="default" w:ascii="Times New Roman" w:hAnsi="Times New Roman" w:eastAsia="文星标宋" w:cs="Times New Roman"/>
          <w:bCs/>
          <w:color w:val="0C0C0C"/>
          <w:sz w:val="32"/>
          <w:szCs w:val="32"/>
        </w:rPr>
        <w:t>加强养老服务人才队伍建设</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_Toc28765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24</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_Toc8438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提升从业人员职业化专业化水平</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_Toc8438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24</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_Toc1575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完善专业人才培养激励机制</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_Toc1575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25</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_Toc6930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促进养老服务行业就业创业</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_Toc6930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25</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_Toc21130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第四节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推动“社工+志愿者”联动为老服务</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_Toc21130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26</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_Toc15977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五</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w:t>
      </w:r>
      <w:r>
        <w:rPr>
          <w:rFonts w:hint="default" w:ascii="Times New Roman" w:hAnsi="Times New Roman" w:eastAsia="文星标宋" w:cs="Times New Roman"/>
          <w:bCs/>
          <w:color w:val="0C0C0C"/>
          <w:sz w:val="32"/>
          <w:szCs w:val="32"/>
        </w:rPr>
        <w:t>建立健全老年人关爱服务体系</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_Toc15977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27</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_Toc9513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弘扬敬老养老助老社会风尚</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_Toc9513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28</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_Toc3652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加强特殊困难老年人关爱</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_Toc3652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28</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_Toc26001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增强老年人权益保障</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_Toc26001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_Toc10171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第四节</w:t>
      </w:r>
      <w:r>
        <w:rPr>
          <w:rFonts w:hint="default" w:ascii="Times New Roman" w:hAnsi="Times New Roman" w:eastAsia="文星楷体" w:cs="Times New Roman"/>
          <w:bCs/>
          <w:color w:val="0C0C0C"/>
          <w:sz w:val="32"/>
          <w:szCs w:val="32"/>
          <w:lang w:val="en-US" w:eastAsia="zh-CN"/>
        </w:rPr>
        <w:t xml:space="preserve"> 扩大老年人社会参与</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_Toc10171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_Toc18742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六</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大力发展银发经济</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_Toc18742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29</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_Toc11338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培育智能健康老年用品市场</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_Toc11338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30</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_Toc28208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培育养老服务新业态</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_Toc28208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30</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_Toc25097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深化区域养老服务合作</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_Toc25097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30</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_Toc10513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七</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健全养老服务综合监管机制</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_Toc10513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31</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_Toc16050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完善养老服务综合监管</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_Toc16050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31</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_Toc1617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加强养老服务重点领域监管</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_Toc1617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32</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_Toc31712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w:t>
      </w:r>
      <w:r>
        <w:rPr>
          <w:rFonts w:hint="default" w:ascii="Times New Roman" w:hAnsi="Times New Roman" w:eastAsia="文星楷体" w:cs="Times New Roman"/>
          <w:bCs/>
          <w:color w:val="0C0C0C"/>
          <w:sz w:val="32"/>
          <w:szCs w:val="32"/>
          <w:lang w:eastAsia="zh-CN"/>
        </w:rPr>
        <w:t>推进养老服务领域社会信用体系建设</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_Toc31712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32</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_Toc17435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标宋" w:cs="Times New Roman"/>
          <w:bCs/>
          <w:color w:val="0C0C0C"/>
          <w:sz w:val="32"/>
          <w:szCs w:val="32"/>
        </w:rPr>
        <w:t>第</w:t>
      </w:r>
      <w:r>
        <w:rPr>
          <w:rFonts w:hint="default" w:ascii="Times New Roman" w:hAnsi="Times New Roman" w:eastAsia="文星标宋" w:cs="Times New Roman"/>
          <w:bCs/>
          <w:color w:val="0C0C0C"/>
          <w:sz w:val="32"/>
          <w:szCs w:val="32"/>
          <w:lang w:eastAsia="zh-CN"/>
        </w:rPr>
        <w:t>八</w:t>
      </w:r>
      <w:r>
        <w:rPr>
          <w:rFonts w:hint="default" w:ascii="Times New Roman" w:hAnsi="Times New Roman" w:eastAsia="文星标宋" w:cs="Times New Roman"/>
          <w:bCs/>
          <w:color w:val="0C0C0C"/>
          <w:sz w:val="32"/>
          <w:szCs w:val="32"/>
        </w:rPr>
        <w:t>章</w:t>
      </w:r>
      <w:r>
        <w:rPr>
          <w:rFonts w:hint="default" w:ascii="Times New Roman" w:hAnsi="Times New Roman" w:eastAsia="文星标宋" w:cs="Times New Roman"/>
          <w:bCs/>
          <w:color w:val="0C0C0C"/>
          <w:sz w:val="32"/>
          <w:szCs w:val="32"/>
          <w:lang w:val="en-US" w:eastAsia="zh-CN"/>
        </w:rPr>
        <w:t xml:space="preserve"> 规划实施保障</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_Toc17435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32</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_Toc1573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第一节</w:t>
      </w:r>
      <w:r>
        <w:rPr>
          <w:rFonts w:hint="default" w:ascii="Times New Roman" w:hAnsi="Times New Roman" w:eastAsia="文星楷体" w:cs="Times New Roman"/>
          <w:bCs/>
          <w:color w:val="0C0C0C"/>
          <w:sz w:val="32"/>
          <w:szCs w:val="32"/>
          <w:lang w:val="en-US" w:eastAsia="zh-CN"/>
        </w:rPr>
        <w:t xml:space="preserve"> 加强组织领导</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_Toc1573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_Toc28546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第二节</w:t>
      </w:r>
      <w:r>
        <w:rPr>
          <w:rFonts w:hint="default" w:ascii="Times New Roman" w:hAnsi="Times New Roman" w:eastAsia="文星楷体" w:cs="Times New Roman"/>
          <w:bCs/>
          <w:color w:val="0C0C0C"/>
          <w:sz w:val="32"/>
          <w:szCs w:val="32"/>
          <w:lang w:val="en-US" w:eastAsia="zh-CN"/>
        </w:rPr>
        <w:t xml:space="preserve"> 加强督促考评</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_Toc28546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_Toc26090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第三节</w:t>
      </w:r>
      <w:r>
        <w:rPr>
          <w:rFonts w:hint="default" w:ascii="Times New Roman" w:hAnsi="Times New Roman" w:eastAsia="文星楷体" w:cs="Times New Roman"/>
          <w:bCs/>
          <w:color w:val="0C0C0C"/>
          <w:sz w:val="32"/>
          <w:szCs w:val="32"/>
          <w:lang w:val="en-US" w:eastAsia="zh-CN"/>
        </w:rPr>
        <w:t xml:space="preserve"> 加强基层力量</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_Toc26090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33</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pStyle w:val="15"/>
        <w:keepNext w:val="0"/>
        <w:keepLines w:val="0"/>
        <w:pageBreakBefore w:val="0"/>
        <w:widowControl/>
        <w:tabs>
          <w:tab w:val="right" w:leader="dot" w:pos="8732"/>
        </w:tabs>
        <w:kinsoku/>
        <w:wordWrap/>
        <w:overflowPunct/>
        <w:topLinePunct w:val="0"/>
        <w:autoSpaceDE/>
        <w:autoSpaceDN/>
        <w:bidi w:val="0"/>
        <w:adjustRightInd/>
        <w:snapToGrid/>
        <w:spacing w:line="600" w:lineRule="exact"/>
        <w:textAlignment w:val="auto"/>
        <w:rPr>
          <w:rFonts w:hint="default" w:ascii="Times New Roman" w:hAnsi="Times New Roman" w:cs="Times New Roman"/>
          <w:color w:val="0C0C0C"/>
          <w:sz w:val="32"/>
          <w:szCs w:val="32"/>
        </w:rPr>
      </w:pPr>
      <w:r>
        <w:rPr>
          <w:rFonts w:hint="default" w:ascii="Times New Roman" w:hAnsi="Times New Roman" w:cs="Times New Roman"/>
          <w:bCs w:val="0"/>
          <w:color w:val="0C0C0C"/>
          <w:sz w:val="32"/>
          <w:szCs w:val="32"/>
        </w:rPr>
        <w:fldChar w:fldCharType="begin"/>
      </w:r>
      <w:r>
        <w:rPr>
          <w:rFonts w:hint="default" w:ascii="Times New Roman" w:hAnsi="Times New Roman" w:cs="Times New Roman"/>
          <w:bCs w:val="0"/>
          <w:color w:val="0C0C0C"/>
          <w:sz w:val="32"/>
          <w:szCs w:val="32"/>
        </w:rPr>
        <w:instrText xml:space="preserve"> HYPERLINK \l _Toc26730 </w:instrText>
      </w:r>
      <w:r>
        <w:rPr>
          <w:rFonts w:hint="default" w:ascii="Times New Roman" w:hAnsi="Times New Roman" w:cs="Times New Roman"/>
          <w:bCs w:val="0"/>
          <w:color w:val="0C0C0C"/>
          <w:sz w:val="32"/>
          <w:szCs w:val="32"/>
        </w:rPr>
        <w:fldChar w:fldCharType="separate"/>
      </w:r>
      <w:r>
        <w:rPr>
          <w:rFonts w:hint="default" w:ascii="Times New Roman" w:hAnsi="Times New Roman" w:eastAsia="文星楷体" w:cs="Times New Roman"/>
          <w:bCs/>
          <w:color w:val="0C0C0C"/>
          <w:sz w:val="32"/>
          <w:szCs w:val="32"/>
          <w:lang w:eastAsia="zh-CN"/>
        </w:rPr>
        <w:t>第四节</w:t>
      </w:r>
      <w:r>
        <w:rPr>
          <w:rFonts w:hint="default" w:ascii="Times New Roman" w:hAnsi="Times New Roman" w:eastAsia="文星楷体" w:cs="Times New Roman"/>
          <w:bCs/>
          <w:color w:val="0C0C0C"/>
          <w:sz w:val="32"/>
          <w:szCs w:val="32"/>
          <w:lang w:val="en-US" w:eastAsia="zh-CN"/>
        </w:rPr>
        <w:t xml:space="preserve"> 加强宣传引导</w:t>
      </w:r>
      <w:r>
        <w:rPr>
          <w:rFonts w:hint="default" w:ascii="Times New Roman" w:hAnsi="Times New Roman" w:cs="Times New Roman"/>
          <w:color w:val="0C0C0C"/>
          <w:sz w:val="32"/>
          <w:szCs w:val="32"/>
        </w:rPr>
        <w:tab/>
      </w:r>
      <w:r>
        <w:rPr>
          <w:rFonts w:hint="default" w:ascii="Times New Roman" w:hAnsi="Times New Roman" w:cs="Times New Roman"/>
          <w:color w:val="0C0C0C"/>
          <w:sz w:val="32"/>
          <w:szCs w:val="32"/>
        </w:rPr>
        <w:fldChar w:fldCharType="begin"/>
      </w:r>
      <w:r>
        <w:rPr>
          <w:rFonts w:hint="default" w:ascii="Times New Roman" w:hAnsi="Times New Roman" w:cs="Times New Roman"/>
          <w:color w:val="0C0C0C"/>
          <w:sz w:val="32"/>
          <w:szCs w:val="32"/>
        </w:rPr>
        <w:instrText xml:space="preserve"> PAGEREF _Toc26730 \h </w:instrText>
      </w:r>
      <w:r>
        <w:rPr>
          <w:rFonts w:hint="default" w:ascii="Times New Roman" w:hAnsi="Times New Roman" w:cs="Times New Roman"/>
          <w:color w:val="0C0C0C"/>
          <w:sz w:val="32"/>
          <w:szCs w:val="32"/>
        </w:rPr>
        <w:fldChar w:fldCharType="separate"/>
      </w:r>
      <w:r>
        <w:rPr>
          <w:rFonts w:hint="default" w:ascii="Times New Roman" w:hAnsi="Times New Roman" w:cs="Times New Roman"/>
          <w:color w:val="0C0C0C"/>
          <w:sz w:val="32"/>
          <w:szCs w:val="32"/>
        </w:rPr>
        <w:t>34</w:t>
      </w:r>
      <w:r>
        <w:rPr>
          <w:rFonts w:hint="default" w:ascii="Times New Roman" w:hAnsi="Times New Roman" w:cs="Times New Roman"/>
          <w:color w:val="0C0C0C"/>
          <w:sz w:val="32"/>
          <w:szCs w:val="32"/>
        </w:rPr>
        <w:fldChar w:fldCharType="end"/>
      </w:r>
      <w:r>
        <w:rPr>
          <w:rFonts w:hint="default" w:ascii="Times New Roman" w:hAnsi="Times New Roman" w:cs="Times New Roman"/>
          <w:bCs w:val="0"/>
          <w:color w:val="0C0C0C"/>
          <w:sz w:val="32"/>
          <w:szCs w:val="32"/>
        </w:rPr>
        <w:fldChar w:fldCharType="end"/>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color w:val="0C0C0C"/>
          <w:sz w:val="32"/>
          <w:szCs w:val="32"/>
        </w:rPr>
      </w:pPr>
      <w:r>
        <w:rPr>
          <w:rFonts w:hint="default" w:ascii="Times New Roman" w:hAnsi="Times New Roman" w:cs="Times New Roman"/>
          <w:bCs w:val="0"/>
          <w:color w:val="0C0C0C"/>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bCs/>
          <w:color w:val="0C0C0C"/>
          <w:sz w:val="32"/>
          <w:szCs w:val="32"/>
        </w:rPr>
      </w:pPr>
      <w:r>
        <w:rPr>
          <w:rFonts w:hint="default" w:ascii="Times New Roman" w:hAnsi="Times New Roman" w:eastAsia="文星仿宋" w:cs="Times New Roman"/>
          <w:color w:val="0C0C0C"/>
          <w:sz w:val="32"/>
          <w:szCs w:val="32"/>
        </w:rPr>
        <w:t>为积极应对人口老龄化，有效增加优质养老服务供给，推动养老事业和养老产业协同发展，根据《国家积极应对人口老龄化中长期规划》《“十四五”国家老龄事业发展和养老服务体系规划》《广东省养老服务条例》《广东省老年人权益保障条例（2017年修订）》</w:t>
      </w:r>
      <w:r>
        <w:rPr>
          <w:rFonts w:hint="default" w:ascii="Times New Roman" w:hAnsi="Times New Roman" w:eastAsia="文星仿宋" w:cs="Times New Roman"/>
          <w:color w:val="0C0C0C"/>
          <w:sz w:val="32"/>
          <w:szCs w:val="32"/>
          <w:lang w:val="en-US" w:eastAsia="zh-CN"/>
        </w:rPr>
        <w:t>《广东省养老服务体系建设“十四五”规划》《梅州市养老服务体系建设“十四五”规划》</w:t>
      </w:r>
      <w:r>
        <w:rPr>
          <w:rFonts w:hint="default" w:ascii="Times New Roman" w:hAnsi="Times New Roman" w:eastAsia="文星仿宋" w:cs="Times New Roman"/>
          <w:bCs/>
          <w:color w:val="0C0C0C"/>
          <w:sz w:val="32"/>
          <w:szCs w:val="32"/>
        </w:rPr>
        <w:t>和《</w:t>
      </w:r>
      <w:r>
        <w:rPr>
          <w:rFonts w:hint="default" w:ascii="Times New Roman" w:hAnsi="Times New Roman" w:eastAsia="文星仿宋" w:cs="Times New Roman"/>
          <w:color w:val="0C0C0C"/>
          <w:sz w:val="32"/>
          <w:szCs w:val="32"/>
          <w:lang w:eastAsia="zh-CN"/>
        </w:rPr>
        <w:t>平远县国民经济和社会发展第十四个五年规划和二</w:t>
      </w:r>
      <w:r>
        <w:rPr>
          <w:rFonts w:hint="eastAsia" w:ascii="Times New Roman" w:hAnsi="Times New Roman" w:eastAsia="文星仿宋" w:cs="Times New Roman"/>
          <w:color w:val="0C0C0C"/>
          <w:sz w:val="32"/>
          <w:szCs w:val="32"/>
          <w:lang w:val="en-US" w:eastAsia="zh-CN"/>
        </w:rPr>
        <w:t>〇</w:t>
      </w:r>
      <w:r>
        <w:rPr>
          <w:rFonts w:hint="default" w:ascii="Times New Roman" w:hAnsi="Times New Roman" w:eastAsia="文星仿宋" w:cs="Times New Roman"/>
          <w:color w:val="0C0C0C"/>
          <w:sz w:val="32"/>
          <w:szCs w:val="32"/>
          <w:lang w:eastAsia="zh-CN"/>
        </w:rPr>
        <w:t>三五年远景目标纲要</w:t>
      </w:r>
      <w:r>
        <w:rPr>
          <w:rFonts w:hint="default" w:ascii="Times New Roman" w:hAnsi="Times New Roman" w:eastAsia="文星仿宋" w:cs="Times New Roman"/>
          <w:bCs/>
          <w:color w:val="0C0C0C"/>
          <w:sz w:val="32"/>
          <w:szCs w:val="32"/>
        </w:rPr>
        <w:t>》，结合我</w:t>
      </w:r>
      <w:r>
        <w:rPr>
          <w:rFonts w:hint="default" w:ascii="Times New Roman" w:hAnsi="Times New Roman" w:eastAsia="文星仿宋" w:cs="Times New Roman"/>
          <w:bCs/>
          <w:color w:val="0C0C0C"/>
          <w:sz w:val="32"/>
          <w:szCs w:val="32"/>
          <w:lang w:eastAsia="zh-CN"/>
        </w:rPr>
        <w:t>县</w:t>
      </w:r>
      <w:r>
        <w:rPr>
          <w:rFonts w:hint="default" w:ascii="Times New Roman" w:hAnsi="Times New Roman" w:eastAsia="文星仿宋" w:cs="Times New Roman"/>
          <w:bCs/>
          <w:color w:val="0C0C0C"/>
          <w:sz w:val="32"/>
          <w:szCs w:val="32"/>
        </w:rPr>
        <w:t>实际情况，制定本规划</w:t>
      </w:r>
      <w:r>
        <w:rPr>
          <w:rFonts w:hint="default" w:ascii="Times New Roman" w:hAnsi="Times New Roman" w:eastAsia="文星仿宋" w:cs="Times New Roman"/>
          <w:bCs/>
          <w:color w:val="0C0C0C"/>
          <w:sz w:val="32"/>
          <w:szCs w:val="32"/>
          <w:lang w:eastAsia="zh-CN"/>
        </w:rPr>
        <w:t>。</w:t>
      </w:r>
      <w:r>
        <w:rPr>
          <w:rFonts w:hint="default" w:ascii="Times New Roman" w:hAnsi="Times New Roman" w:eastAsia="文星仿宋" w:cs="Times New Roman"/>
          <w:bCs/>
          <w:color w:val="0C0C0C"/>
          <w:sz w:val="32"/>
          <w:szCs w:val="32"/>
        </w:rPr>
        <w:t>规划期限为2021至2025年，远期展望至2035年。</w:t>
      </w:r>
    </w:p>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1" w:name="_Toc18698"/>
      <w:bookmarkStart w:id="2" w:name="_Toc5618"/>
      <w:bookmarkStart w:id="3" w:name="_Toc21104"/>
      <w:bookmarkStart w:id="4" w:name="_Toc4024"/>
      <w:bookmarkStart w:id="5" w:name="_Toc1941"/>
      <w:r>
        <w:rPr>
          <w:rFonts w:hint="default" w:ascii="Times New Roman" w:hAnsi="Times New Roman" w:eastAsia="文星标宋" w:cs="Times New Roman"/>
          <w:b w:val="0"/>
          <w:bCs/>
          <w:color w:val="0C0C0C"/>
          <w:sz w:val="36"/>
          <w:szCs w:val="21"/>
        </w:rPr>
        <w:t>第一章</w:t>
      </w:r>
      <w:r>
        <w:rPr>
          <w:rFonts w:hint="default" w:ascii="Times New Roman" w:hAnsi="Times New Roman" w:eastAsia="文星标宋" w:cs="Times New Roman"/>
          <w:b w:val="0"/>
          <w:bCs/>
          <w:color w:val="0C0C0C"/>
          <w:sz w:val="36"/>
          <w:szCs w:val="21"/>
          <w:lang w:val="en-US" w:eastAsia="zh-CN"/>
        </w:rPr>
        <w:t xml:space="preserve"> </w:t>
      </w:r>
      <w:r>
        <w:rPr>
          <w:rFonts w:hint="default" w:ascii="Times New Roman" w:hAnsi="Times New Roman" w:eastAsia="文星标宋" w:cs="Times New Roman"/>
          <w:b w:val="0"/>
          <w:bCs/>
          <w:color w:val="0C0C0C"/>
          <w:sz w:val="36"/>
          <w:szCs w:val="21"/>
        </w:rPr>
        <w:t>开启</w:t>
      </w:r>
      <w:r>
        <w:rPr>
          <w:rFonts w:hint="default" w:ascii="Times New Roman" w:hAnsi="Times New Roman" w:eastAsia="文星标宋" w:cs="Times New Roman"/>
          <w:b w:val="0"/>
          <w:bCs/>
          <w:color w:val="0C0C0C"/>
          <w:sz w:val="36"/>
          <w:szCs w:val="21"/>
          <w:lang w:eastAsia="zh-CN"/>
        </w:rPr>
        <w:t>平远</w:t>
      </w:r>
      <w:r>
        <w:rPr>
          <w:rFonts w:hint="default" w:ascii="Times New Roman" w:hAnsi="Times New Roman" w:eastAsia="文星标宋" w:cs="Times New Roman"/>
          <w:b w:val="0"/>
          <w:bCs/>
          <w:color w:val="0C0C0C"/>
          <w:sz w:val="36"/>
          <w:szCs w:val="21"/>
        </w:rPr>
        <w:t>特色养老服务体系现代化建设新征程</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b w:val="0"/>
          <w:color w:val="0C0C0C"/>
          <w:kern w:val="2"/>
          <w:sz w:val="32"/>
          <w:szCs w:val="32"/>
          <w:lang w:val="en-US" w:eastAsia="zh-CN" w:bidi="ar-SA"/>
        </w:rPr>
      </w:pPr>
      <w:bookmarkStart w:id="6" w:name="_Toc7902"/>
      <w:bookmarkStart w:id="7" w:name="_Toc32729"/>
      <w:bookmarkStart w:id="8" w:name="_Toc31405"/>
      <w:bookmarkStart w:id="9" w:name="_Toc5605"/>
      <w:bookmarkStart w:id="10" w:name="_Toc2332"/>
      <w:bookmarkStart w:id="11" w:name="_Toc5739"/>
      <w:bookmarkStart w:id="12" w:name="_Toc40616873"/>
      <w:bookmarkStart w:id="13" w:name="_Toc14886"/>
      <w:bookmarkStart w:id="14" w:name="_Toc16771"/>
      <w:bookmarkStart w:id="15" w:name="_Toc3963"/>
      <w:bookmarkStart w:id="16" w:name="_Toc22159"/>
      <w:bookmarkStart w:id="17" w:name="_Toc1171"/>
      <w:bookmarkStart w:id="18" w:name="_Toc20432"/>
      <w:bookmarkStart w:id="19" w:name="_Toc13720"/>
      <w:bookmarkStart w:id="20" w:name="_Toc10174"/>
      <w:bookmarkStart w:id="21" w:name="_Toc24919"/>
      <w:bookmarkStart w:id="22" w:name="_Toc15337"/>
      <w:r>
        <w:rPr>
          <w:rFonts w:hint="default" w:ascii="Times New Roman" w:hAnsi="Times New Roman" w:eastAsia="文星仿宋" w:cs="Times New Roman"/>
          <w:b w:val="0"/>
          <w:color w:val="0C0C0C"/>
          <w:kern w:val="2"/>
          <w:sz w:val="32"/>
          <w:szCs w:val="32"/>
          <w:lang w:val="en-US" w:eastAsia="zh-CN" w:bidi="ar-SA"/>
        </w:rPr>
        <w:t>“十四五”时期，是我国开启全面建设社会主义现代化国家新征程的第一个五年，也是积极应对人口老龄化、实现更高水平幸福广东的重要发展机遇期，更是做好充分准备应对即将到来的中度老龄化社会的关键窗口期。我县将积极贯彻落实积极应对人口老龄化国家战略，深化养老服务供给侧结构性改革，开启平远特色养老服务体系现代化建设新征程。</w:t>
      </w:r>
    </w:p>
    <w:p>
      <w:pPr>
        <w:pStyle w:val="4"/>
        <w:keepNext/>
        <w:keepLines/>
        <w:pageBreakBefore w:val="0"/>
        <w:widowControl w:val="0"/>
        <w:numPr>
          <w:ilvl w:val="0"/>
          <w:numId w:val="0"/>
        </w:numPr>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3" w:name="_Toc16541"/>
      <w:bookmarkStart w:id="24" w:name="_Toc16231"/>
      <w:bookmarkStart w:id="25" w:name="_Toc470"/>
      <w:bookmarkStart w:id="26" w:name="_Toc21514"/>
      <w:bookmarkStart w:id="27" w:name="_Toc4221"/>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发展基础</w:t>
      </w:r>
      <w:bookmarkEnd w:id="23"/>
      <w:bookmarkEnd w:id="24"/>
      <w:bookmarkEnd w:id="25"/>
      <w:bookmarkEnd w:id="26"/>
      <w:bookmarkEnd w:id="27"/>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bookmarkStart w:id="28" w:name="_Toc1837"/>
      <w:bookmarkStart w:id="29" w:name="_Toc40616874"/>
      <w:bookmarkStart w:id="30" w:name="_Toc4059"/>
      <w:bookmarkStart w:id="31" w:name="_Toc20043"/>
      <w:bookmarkStart w:id="32" w:name="_Toc20882"/>
      <w:bookmarkStart w:id="33" w:name="_Toc21765"/>
      <w:bookmarkStart w:id="34" w:name="_Toc8337"/>
      <w:bookmarkStart w:id="35" w:name="_Toc13425"/>
      <w:r>
        <w:rPr>
          <w:rFonts w:hint="default" w:ascii="Times New Roman" w:hAnsi="Times New Roman" w:eastAsia="文星仿宋" w:cs="Times New Roman"/>
          <w:color w:val="0C0C0C"/>
          <w:sz w:val="32"/>
          <w:szCs w:val="32"/>
        </w:rPr>
        <w:t>“十三五”期间，在</w:t>
      </w:r>
      <w:r>
        <w:rPr>
          <w:rFonts w:hint="default" w:ascii="Times New Roman" w:hAnsi="Times New Roman" w:eastAsia="文星仿宋" w:cs="Times New Roman"/>
          <w:color w:val="0C0C0C"/>
          <w:sz w:val="32"/>
          <w:szCs w:val="32"/>
          <w:lang w:eastAsia="zh-CN"/>
        </w:rPr>
        <w:t>县</w:t>
      </w:r>
      <w:r>
        <w:rPr>
          <w:rFonts w:hint="default" w:ascii="Times New Roman" w:hAnsi="Times New Roman" w:eastAsia="文星仿宋" w:cs="Times New Roman"/>
          <w:color w:val="0C0C0C"/>
          <w:sz w:val="32"/>
          <w:szCs w:val="32"/>
        </w:rPr>
        <w:t>委、</w:t>
      </w:r>
      <w:r>
        <w:rPr>
          <w:rFonts w:hint="default" w:ascii="Times New Roman" w:hAnsi="Times New Roman" w:eastAsia="文星仿宋" w:cs="Times New Roman"/>
          <w:color w:val="0C0C0C"/>
          <w:sz w:val="32"/>
          <w:szCs w:val="32"/>
          <w:lang w:eastAsia="zh-CN"/>
        </w:rPr>
        <w:t>县</w:t>
      </w:r>
      <w:r>
        <w:rPr>
          <w:rFonts w:hint="default" w:ascii="Times New Roman" w:hAnsi="Times New Roman" w:eastAsia="文星仿宋" w:cs="Times New Roman"/>
          <w:color w:val="0C0C0C"/>
          <w:sz w:val="32"/>
          <w:szCs w:val="32"/>
        </w:rPr>
        <w:t>政府的正确领导</w:t>
      </w:r>
      <w:r>
        <w:rPr>
          <w:rFonts w:hint="default" w:ascii="Times New Roman" w:hAnsi="Times New Roman" w:eastAsia="文星仿宋" w:cs="Times New Roman"/>
          <w:color w:val="0C0C0C"/>
          <w:sz w:val="32"/>
          <w:szCs w:val="32"/>
          <w:lang w:eastAsia="zh-CN"/>
        </w:rPr>
        <w:t>和社会各界支持下</w:t>
      </w:r>
      <w:r>
        <w:rPr>
          <w:rFonts w:hint="default" w:ascii="Times New Roman" w:hAnsi="Times New Roman" w:eastAsia="文星仿宋" w:cs="Times New Roman"/>
          <w:color w:val="0C0C0C"/>
          <w:sz w:val="32"/>
          <w:szCs w:val="32"/>
        </w:rPr>
        <w:t>，</w:t>
      </w:r>
      <w:r>
        <w:rPr>
          <w:rFonts w:hint="default" w:ascii="Times New Roman" w:hAnsi="Times New Roman" w:eastAsia="文星仿宋" w:cs="Times New Roman"/>
          <w:color w:val="0C0C0C"/>
          <w:sz w:val="32"/>
          <w:szCs w:val="32"/>
          <w:lang w:eastAsia="zh-CN"/>
        </w:rPr>
        <w:t>全县逐步建立起以居家为基础、社区为依托、机构为支撑、医养相结合的养老服务体系，进一步补齐养老服务体系建设短板，更好满足人民群众日益增长的美好生活需要</w:t>
      </w:r>
      <w:r>
        <w:rPr>
          <w:rFonts w:hint="default" w:ascii="Times New Roman" w:hAnsi="Times New Roman" w:eastAsia="文星仿宋" w:cs="Times New Roman"/>
          <w:color w:val="0C0C0C"/>
          <w:sz w:val="32"/>
          <w:szCs w:val="32"/>
        </w:rPr>
        <w:t>。</w:t>
      </w:r>
    </w:p>
    <w:bookmarkEnd w:id="28"/>
    <w:bookmarkEnd w:id="29"/>
    <w:bookmarkEnd w:id="30"/>
    <w:bookmarkEnd w:id="31"/>
    <w:bookmarkEnd w:id="32"/>
    <w:bookmarkEnd w:id="33"/>
    <w:bookmarkEnd w:id="34"/>
    <w:bookmarkEnd w:id="35"/>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bCs/>
          <w:color w:val="0C0C0C"/>
          <w:sz w:val="32"/>
          <w:szCs w:val="32"/>
          <w:lang w:val="en-US" w:eastAsia="zh-CN"/>
        </w:rPr>
        <w:t>养老基础设施建设全面加强</w:t>
      </w:r>
      <w:r>
        <w:rPr>
          <w:rFonts w:hint="default" w:ascii="Times New Roman" w:hAnsi="Times New Roman" w:eastAsia="文星仿宋" w:cs="Times New Roman"/>
          <w:b/>
          <w:bCs/>
          <w:color w:val="0C0C0C"/>
          <w:sz w:val="32"/>
          <w:szCs w:val="32"/>
        </w:rPr>
        <w:t>。</w:t>
      </w:r>
      <w:r>
        <w:rPr>
          <w:rFonts w:hint="default" w:ascii="Times New Roman" w:hAnsi="Times New Roman" w:eastAsia="文星仿宋" w:cs="Times New Roman"/>
          <w:b w:val="0"/>
          <w:bCs w:val="0"/>
          <w:color w:val="0C0C0C"/>
          <w:sz w:val="32"/>
          <w:szCs w:val="32"/>
          <w:lang w:eastAsia="zh-CN"/>
        </w:rPr>
        <w:t>截至</w:t>
      </w:r>
      <w:r>
        <w:rPr>
          <w:rFonts w:hint="default" w:ascii="Times New Roman" w:hAnsi="Times New Roman" w:eastAsia="文星仿宋" w:cs="Times New Roman"/>
          <w:color w:val="0C0C0C"/>
          <w:sz w:val="32"/>
          <w:szCs w:val="32"/>
          <w:lang w:val="en-US" w:eastAsia="zh-CN"/>
        </w:rPr>
        <w:t>2020年，</w:t>
      </w:r>
      <w:r>
        <w:rPr>
          <w:rFonts w:hint="default" w:ascii="Times New Roman" w:hAnsi="Times New Roman" w:eastAsia="文星仿宋" w:cs="Times New Roman"/>
          <w:color w:val="0C0C0C"/>
          <w:sz w:val="32"/>
          <w:szCs w:val="32"/>
        </w:rPr>
        <w:t>全县养老床位共</w:t>
      </w:r>
      <w:r>
        <w:rPr>
          <w:rFonts w:hint="default" w:ascii="Times New Roman" w:hAnsi="Times New Roman" w:eastAsia="文星仿宋" w:cs="Times New Roman"/>
          <w:color w:val="0C0C0C"/>
          <w:sz w:val="32"/>
          <w:szCs w:val="32"/>
          <w:lang w:val="en-US" w:eastAsia="zh-CN"/>
        </w:rPr>
        <w:t>1618</w:t>
      </w:r>
      <w:r>
        <w:rPr>
          <w:rFonts w:hint="default" w:ascii="Times New Roman" w:hAnsi="Times New Roman" w:eastAsia="文星仿宋" w:cs="Times New Roman"/>
          <w:color w:val="0C0C0C"/>
          <w:sz w:val="32"/>
          <w:szCs w:val="32"/>
        </w:rPr>
        <w:t>张，比“十二五”末增加</w:t>
      </w:r>
      <w:r>
        <w:rPr>
          <w:rFonts w:hint="default" w:ascii="Times New Roman" w:hAnsi="Times New Roman" w:eastAsia="文星仿宋" w:cs="Times New Roman"/>
          <w:color w:val="0C0C0C"/>
          <w:sz w:val="32"/>
          <w:szCs w:val="32"/>
          <w:lang w:val="en-US" w:eastAsia="zh-CN"/>
        </w:rPr>
        <w:t>370</w:t>
      </w:r>
      <w:r>
        <w:rPr>
          <w:rFonts w:hint="default" w:ascii="Times New Roman" w:hAnsi="Times New Roman" w:eastAsia="文星仿宋" w:cs="Times New Roman"/>
          <w:color w:val="0C0C0C"/>
          <w:sz w:val="32"/>
          <w:szCs w:val="32"/>
        </w:rPr>
        <w:t>张，增</w:t>
      </w:r>
      <w:r>
        <w:rPr>
          <w:rFonts w:hint="default" w:ascii="Times New Roman" w:hAnsi="Times New Roman" w:eastAsia="文星仿宋" w:cs="Times New Roman"/>
          <w:color w:val="0C0C0C"/>
          <w:sz w:val="32"/>
          <w:szCs w:val="32"/>
          <w:lang w:eastAsia="zh-CN"/>
        </w:rPr>
        <w:t>长</w:t>
      </w:r>
      <w:r>
        <w:rPr>
          <w:rFonts w:hint="default" w:ascii="Times New Roman" w:hAnsi="Times New Roman" w:eastAsia="文星仿宋" w:cs="Times New Roman"/>
          <w:color w:val="0C0C0C"/>
          <w:sz w:val="32"/>
          <w:szCs w:val="32"/>
          <w:lang w:val="en-US" w:eastAsia="zh-CN"/>
        </w:rPr>
        <w:t>29.6</w:t>
      </w:r>
      <w:r>
        <w:rPr>
          <w:rFonts w:hint="default" w:ascii="Times New Roman" w:hAnsi="Times New Roman" w:eastAsia="文星仿宋" w:cs="Times New Roman"/>
          <w:color w:val="0C0C0C"/>
          <w:sz w:val="32"/>
          <w:szCs w:val="32"/>
        </w:rPr>
        <w:t>%</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每千名老人拥有养老床位数</w:t>
      </w:r>
      <w:r>
        <w:rPr>
          <w:rFonts w:hint="default" w:ascii="Times New Roman" w:hAnsi="Times New Roman" w:eastAsia="文星仿宋" w:cs="Times New Roman"/>
          <w:color w:val="0C0C0C"/>
          <w:sz w:val="32"/>
          <w:szCs w:val="32"/>
          <w:lang w:val="en-US" w:eastAsia="zh-CN"/>
        </w:rPr>
        <w:t>35</w:t>
      </w:r>
      <w:r>
        <w:rPr>
          <w:rFonts w:hint="default" w:ascii="Times New Roman" w:hAnsi="Times New Roman" w:eastAsia="文星仿宋" w:cs="Times New Roman"/>
          <w:color w:val="0C0C0C"/>
          <w:sz w:val="32"/>
          <w:szCs w:val="32"/>
        </w:rPr>
        <w:t>张</w:t>
      </w:r>
      <w:r>
        <w:rPr>
          <w:rFonts w:hint="default" w:ascii="Times New Roman" w:hAnsi="Times New Roman" w:eastAsia="文星仿宋" w:cs="Times New Roman"/>
          <w:color w:val="0C0C0C"/>
          <w:sz w:val="32"/>
          <w:szCs w:val="32"/>
          <w:lang w:eastAsia="zh-CN"/>
        </w:rPr>
        <w:t>（含残联、医疗机构）</w:t>
      </w:r>
      <w:r>
        <w:rPr>
          <w:rFonts w:hint="default" w:ascii="Times New Roman" w:hAnsi="Times New Roman" w:eastAsia="文星仿宋" w:cs="Times New Roman"/>
          <w:color w:val="0C0C0C"/>
          <w:sz w:val="32"/>
          <w:szCs w:val="32"/>
        </w:rPr>
        <w:t>，超额完成省市</w:t>
      </w:r>
      <w:r>
        <w:rPr>
          <w:rFonts w:hint="default" w:ascii="Times New Roman" w:hAnsi="Times New Roman" w:eastAsia="文星仿宋" w:cs="Times New Roman"/>
          <w:color w:val="0C0C0C"/>
          <w:sz w:val="32"/>
          <w:szCs w:val="32"/>
          <w:lang w:eastAsia="zh-CN"/>
        </w:rPr>
        <w:t>目标</w:t>
      </w:r>
      <w:r>
        <w:rPr>
          <w:rFonts w:hint="default" w:ascii="Times New Roman" w:hAnsi="Times New Roman" w:eastAsia="文星仿宋" w:cs="Times New Roman"/>
          <w:color w:val="0C0C0C"/>
          <w:sz w:val="32"/>
          <w:szCs w:val="32"/>
        </w:rPr>
        <w:t>要求。</w:t>
      </w:r>
      <w:r>
        <w:rPr>
          <w:rFonts w:hint="default" w:ascii="Times New Roman" w:hAnsi="Times New Roman" w:eastAsia="文星仿宋" w:cs="Times New Roman"/>
          <w:b w:val="0"/>
          <w:bCs w:val="0"/>
          <w:color w:val="0C0C0C"/>
          <w:sz w:val="32"/>
          <w:szCs w:val="32"/>
        </w:rPr>
        <w:t>截至2020年，全县有151个城乡社区养老服务设施，其中城市3个、乡镇12个、农村136个，城市社区养老服务设施覆盖率达到100%</w:t>
      </w:r>
      <w:r>
        <w:rPr>
          <w:rFonts w:hint="default" w:ascii="Times New Roman" w:hAnsi="Times New Roman" w:eastAsia="文星仿宋" w:cs="Times New Roman"/>
          <w:b w:val="0"/>
          <w:bCs w:val="0"/>
          <w:color w:val="0C0C0C"/>
          <w:sz w:val="32"/>
          <w:szCs w:val="32"/>
          <w:lang w:eastAsia="zh-CN"/>
        </w:rPr>
        <w:t>、</w:t>
      </w:r>
      <w:r>
        <w:rPr>
          <w:rFonts w:hint="default" w:ascii="Times New Roman" w:hAnsi="Times New Roman" w:eastAsia="文星仿宋" w:cs="Times New Roman"/>
          <w:b w:val="0"/>
          <w:bCs w:val="0"/>
          <w:color w:val="0C0C0C"/>
          <w:sz w:val="32"/>
          <w:szCs w:val="32"/>
        </w:rPr>
        <w:t>乡镇养老服务设施覆盖率达到100%</w:t>
      </w:r>
      <w:r>
        <w:rPr>
          <w:rFonts w:hint="default" w:ascii="Times New Roman" w:hAnsi="Times New Roman" w:eastAsia="文星仿宋" w:cs="Times New Roman"/>
          <w:b w:val="0"/>
          <w:bCs w:val="0"/>
          <w:color w:val="0C0C0C"/>
          <w:sz w:val="32"/>
          <w:szCs w:val="32"/>
          <w:lang w:eastAsia="zh-CN"/>
        </w:rPr>
        <w:t>、</w:t>
      </w:r>
      <w:r>
        <w:rPr>
          <w:rFonts w:hint="default" w:ascii="Times New Roman" w:hAnsi="Times New Roman" w:eastAsia="文星仿宋" w:cs="Times New Roman"/>
          <w:b w:val="0"/>
          <w:bCs w:val="0"/>
          <w:color w:val="0C0C0C"/>
          <w:sz w:val="32"/>
          <w:szCs w:val="32"/>
        </w:rPr>
        <w:t>农村养老服务设施覆盖率达到100%</w:t>
      </w:r>
      <w:r>
        <w:rPr>
          <w:rFonts w:hint="default" w:ascii="Times New Roman" w:hAnsi="Times New Roman" w:eastAsia="文星仿宋" w:cs="Times New Roman"/>
          <w:b w:val="0"/>
          <w:bCs w:val="0"/>
          <w:color w:val="0C0C0C"/>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居家养老</w:t>
      </w:r>
      <w:r>
        <w:rPr>
          <w:rFonts w:hint="default" w:ascii="Times New Roman" w:hAnsi="Times New Roman" w:eastAsia="文星仿宋" w:cs="Times New Roman"/>
          <w:b/>
          <w:bCs/>
          <w:color w:val="0C0C0C"/>
          <w:sz w:val="32"/>
          <w:szCs w:val="32"/>
          <w:lang w:eastAsia="zh-CN"/>
        </w:rPr>
        <w:t>服务体系大力推广</w:t>
      </w:r>
      <w:r>
        <w:rPr>
          <w:rFonts w:hint="default" w:ascii="Times New Roman" w:hAnsi="Times New Roman" w:eastAsia="文星仿宋" w:cs="Times New Roman"/>
          <w:b/>
          <w:bCs/>
          <w:color w:val="0C0C0C"/>
          <w:sz w:val="32"/>
          <w:szCs w:val="32"/>
        </w:rPr>
        <w:t>。</w:t>
      </w:r>
      <w:r>
        <w:rPr>
          <w:rFonts w:hint="default" w:ascii="Times New Roman" w:hAnsi="Times New Roman" w:eastAsia="文星仿宋" w:cs="Times New Roman"/>
          <w:color w:val="0C0C0C"/>
          <w:sz w:val="32"/>
          <w:szCs w:val="32"/>
        </w:rPr>
        <w:t>全县已建成24家居家养老服务站</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1家县级居家养老服务指导中心。</w:t>
      </w:r>
      <w:r>
        <w:rPr>
          <w:rFonts w:hint="default" w:ascii="Times New Roman" w:hAnsi="Times New Roman" w:eastAsia="文星仿宋" w:cs="Times New Roman"/>
          <w:color w:val="0C0C0C"/>
          <w:sz w:val="32"/>
          <w:szCs w:val="32"/>
          <w:lang w:eastAsia="zh-CN"/>
        </w:rPr>
        <w:t>持续以</w:t>
      </w:r>
      <w:r>
        <w:rPr>
          <w:rFonts w:hint="default" w:ascii="Times New Roman" w:hAnsi="Times New Roman" w:eastAsia="文星仿宋" w:cs="Times New Roman"/>
          <w:color w:val="0C0C0C"/>
          <w:sz w:val="32"/>
          <w:szCs w:val="32"/>
        </w:rPr>
        <w:t>县、镇居家养老服务示范建设活动带动和提升全县居家养老服务水平</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县、镇、村三级居家养老服务网络体系</w:t>
      </w:r>
      <w:r>
        <w:rPr>
          <w:rFonts w:hint="default" w:ascii="Times New Roman" w:hAnsi="Times New Roman" w:eastAsia="文星仿宋" w:cs="Times New Roman"/>
          <w:color w:val="0C0C0C"/>
          <w:sz w:val="32"/>
          <w:szCs w:val="32"/>
          <w:lang w:eastAsia="zh-CN"/>
        </w:rPr>
        <w:t>逐渐形成</w:t>
      </w:r>
      <w:r>
        <w:rPr>
          <w:rFonts w:hint="default" w:ascii="Times New Roman" w:hAnsi="Times New Roman" w:eastAsia="文星仿宋" w:cs="Times New Roman"/>
          <w:color w:val="0C0C0C"/>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bCs/>
          <w:color w:val="0C0C0C"/>
          <w:sz w:val="32"/>
          <w:szCs w:val="32"/>
          <w:lang w:val="en-US" w:eastAsia="zh-CN"/>
        </w:rPr>
        <w:t>养老机构服务水平实现提质增效</w:t>
      </w:r>
      <w:r>
        <w:rPr>
          <w:rFonts w:hint="default" w:ascii="Times New Roman" w:hAnsi="Times New Roman" w:eastAsia="文星仿宋" w:cs="Times New Roman"/>
          <w:b/>
          <w:bCs/>
          <w:color w:val="0C0C0C"/>
          <w:kern w:val="2"/>
          <w:sz w:val="32"/>
          <w:szCs w:val="32"/>
          <w:lang w:val="en-US" w:eastAsia="zh-CN" w:bidi="ar-SA"/>
        </w:rPr>
        <w:t>。</w:t>
      </w:r>
      <w:r>
        <w:rPr>
          <w:rFonts w:hint="default" w:ascii="Times New Roman" w:hAnsi="Times New Roman" w:eastAsia="文星仿宋" w:cs="Times New Roman"/>
          <w:b w:val="0"/>
          <w:bCs w:val="0"/>
          <w:color w:val="0C0C0C"/>
          <w:sz w:val="32"/>
          <w:szCs w:val="32"/>
        </w:rPr>
        <w:t>县托老中心采取“公建民营”的管理模式，</w:t>
      </w:r>
      <w:r>
        <w:rPr>
          <w:rFonts w:hint="default" w:ascii="Times New Roman" w:hAnsi="Times New Roman" w:eastAsia="文星仿宋" w:cs="Times New Roman"/>
          <w:b w:val="0"/>
          <w:bCs w:val="0"/>
          <w:color w:val="0C0C0C"/>
          <w:sz w:val="32"/>
          <w:szCs w:val="32"/>
          <w:lang w:val="en-US" w:eastAsia="zh-CN"/>
        </w:rPr>
        <w:t>2020年</w:t>
      </w:r>
      <w:r>
        <w:rPr>
          <w:rFonts w:hint="default" w:ascii="Times New Roman" w:hAnsi="Times New Roman" w:eastAsia="文星仿宋" w:cs="Times New Roman"/>
          <w:b w:val="0"/>
          <w:bCs w:val="0"/>
          <w:color w:val="0C0C0C"/>
          <w:sz w:val="32"/>
          <w:szCs w:val="32"/>
        </w:rPr>
        <w:t>被省民政厅评为四星级养老服务机构。</w:t>
      </w:r>
      <w:r>
        <w:rPr>
          <w:rFonts w:hint="default" w:ascii="Times New Roman" w:hAnsi="Times New Roman" w:eastAsia="文星仿宋" w:cs="Times New Roman"/>
          <w:b w:val="0"/>
          <w:bCs w:val="0"/>
          <w:color w:val="0C0C0C"/>
          <w:sz w:val="32"/>
          <w:szCs w:val="32"/>
          <w:lang w:val="en-US" w:eastAsia="zh-CN"/>
        </w:rPr>
        <w:t>总投资1359</w:t>
      </w:r>
      <w:r>
        <w:rPr>
          <w:rFonts w:hint="default" w:ascii="Times New Roman" w:hAnsi="Times New Roman" w:eastAsia="文星仿宋" w:cs="Times New Roman"/>
          <w:b w:val="0"/>
          <w:bCs w:val="0"/>
          <w:color w:val="0C0C0C"/>
          <w:sz w:val="32"/>
          <w:szCs w:val="32"/>
        </w:rPr>
        <w:t>万元</w:t>
      </w:r>
      <w:r>
        <w:rPr>
          <w:rFonts w:hint="default" w:ascii="Times New Roman" w:hAnsi="Times New Roman" w:eastAsia="文星仿宋" w:cs="Times New Roman"/>
          <w:b w:val="0"/>
          <w:bCs w:val="0"/>
          <w:color w:val="0C0C0C"/>
          <w:sz w:val="32"/>
          <w:szCs w:val="32"/>
          <w:lang w:eastAsia="zh-CN"/>
        </w:rPr>
        <w:t>的</w:t>
      </w:r>
      <w:r>
        <w:rPr>
          <w:rFonts w:hint="default" w:ascii="Times New Roman" w:hAnsi="Times New Roman" w:eastAsia="文星仿宋" w:cs="Times New Roman"/>
          <w:b w:val="0"/>
          <w:bCs w:val="0"/>
          <w:color w:val="0C0C0C"/>
          <w:sz w:val="32"/>
          <w:szCs w:val="32"/>
        </w:rPr>
        <w:t>热柘敬老院</w:t>
      </w:r>
      <w:r>
        <w:rPr>
          <w:rFonts w:hint="default" w:ascii="Times New Roman" w:hAnsi="Times New Roman" w:eastAsia="文星仿宋" w:cs="Times New Roman"/>
          <w:b w:val="0"/>
          <w:bCs w:val="0"/>
          <w:color w:val="0C0C0C"/>
          <w:sz w:val="32"/>
          <w:szCs w:val="32"/>
          <w:lang w:val="en-US" w:eastAsia="zh-CN"/>
        </w:rPr>
        <w:t>于2020年完成建设，向社会交付拥有150张养老床位。</w:t>
      </w:r>
      <w:r>
        <w:rPr>
          <w:rFonts w:hint="default" w:ascii="Times New Roman" w:hAnsi="Times New Roman" w:eastAsia="文星仿宋" w:cs="Times New Roman"/>
          <w:color w:val="0C0C0C"/>
          <w:kern w:val="2"/>
          <w:sz w:val="32"/>
          <w:szCs w:val="32"/>
          <w:lang w:val="en-US" w:eastAsia="zh-CN" w:bidi="ar-SA"/>
        </w:rPr>
        <w:t>县养心居托老中心完成养老机构备案投入运营，</w:t>
      </w:r>
      <w:r>
        <w:rPr>
          <w:rFonts w:hint="default" w:ascii="Times New Roman" w:hAnsi="Times New Roman" w:eastAsia="文星仿宋" w:cs="Times New Roman"/>
          <w:b w:val="0"/>
          <w:bCs w:val="0"/>
          <w:color w:val="0C0C0C"/>
          <w:sz w:val="32"/>
          <w:szCs w:val="32"/>
          <w:lang w:eastAsia="zh-CN"/>
        </w:rPr>
        <w:t>养老床位</w:t>
      </w:r>
      <w:r>
        <w:rPr>
          <w:rFonts w:hint="default" w:ascii="Times New Roman" w:hAnsi="Times New Roman" w:eastAsia="文星仿宋" w:cs="Times New Roman"/>
          <w:b w:val="0"/>
          <w:bCs w:val="0"/>
          <w:color w:val="0C0C0C"/>
          <w:sz w:val="32"/>
          <w:szCs w:val="32"/>
          <w:lang w:val="en-US" w:eastAsia="zh-CN"/>
        </w:rPr>
        <w:t>60张</w:t>
      </w:r>
      <w:r>
        <w:rPr>
          <w:rFonts w:hint="default" w:ascii="Times New Roman" w:hAnsi="Times New Roman" w:eastAsia="文星仿宋" w:cs="Times New Roman"/>
          <w:color w:val="0C0C0C"/>
          <w:kern w:val="2"/>
          <w:sz w:val="32"/>
          <w:szCs w:val="32"/>
          <w:lang w:val="en-US" w:eastAsia="zh-CN" w:bidi="ar-SA"/>
        </w:rPr>
        <w:t>，实现全县民办养老机构零</w:t>
      </w:r>
      <w:r>
        <w:rPr>
          <w:rFonts w:hint="eastAsia" w:ascii="Times New Roman" w:hAnsi="Times New Roman" w:eastAsia="文星仿宋" w:cs="Times New Roman"/>
          <w:color w:val="0C0C0C"/>
          <w:kern w:val="2"/>
          <w:sz w:val="32"/>
          <w:szCs w:val="32"/>
          <w:lang w:val="en-US" w:eastAsia="zh-CN" w:bidi="ar-SA"/>
        </w:rPr>
        <w:t>的</w:t>
      </w:r>
      <w:r>
        <w:rPr>
          <w:rFonts w:hint="default" w:ascii="Times New Roman" w:hAnsi="Times New Roman" w:eastAsia="文星仿宋" w:cs="Times New Roman"/>
          <w:color w:val="0C0C0C"/>
          <w:kern w:val="2"/>
          <w:sz w:val="32"/>
          <w:szCs w:val="32"/>
          <w:lang w:val="en-US" w:eastAsia="zh-CN" w:bidi="ar-SA"/>
        </w:rPr>
        <w:t>突破。启动县养老中心建设项目，一期项目总投资5803万元，总占地面积17074.5平方米，总建筑面积13275平方米，改建床位287张</w:t>
      </w:r>
      <w:r>
        <w:rPr>
          <w:rFonts w:hint="default" w:ascii="Times New Roman" w:hAnsi="Times New Roman" w:eastAsia="文星仿宋" w:cs="Times New Roman"/>
          <w:b w:val="0"/>
          <w:bCs w:val="0"/>
          <w:color w:val="0C0C0C"/>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老年人优待政策全面落实。</w:t>
      </w:r>
      <w:r>
        <w:rPr>
          <w:rFonts w:hint="default" w:ascii="Times New Roman" w:hAnsi="Times New Roman" w:eastAsia="文星仿宋" w:cs="Times New Roman"/>
          <w:color w:val="0C0C0C"/>
          <w:sz w:val="32"/>
          <w:szCs w:val="32"/>
        </w:rPr>
        <w:t>“十三五”期间</w:t>
      </w:r>
      <w:r>
        <w:rPr>
          <w:rFonts w:hint="default" w:ascii="Times New Roman" w:hAnsi="Times New Roman" w:eastAsia="文星仿宋" w:cs="Times New Roman"/>
          <w:color w:val="0C0C0C"/>
          <w:sz w:val="32"/>
          <w:szCs w:val="32"/>
          <w:lang w:eastAsia="zh-CN"/>
        </w:rPr>
        <w:t>，累计</w:t>
      </w:r>
      <w:r>
        <w:rPr>
          <w:rFonts w:hint="default" w:ascii="Times New Roman" w:hAnsi="Times New Roman" w:eastAsia="文星仿宋" w:cs="Times New Roman"/>
          <w:color w:val="0C0C0C"/>
          <w:sz w:val="32"/>
          <w:szCs w:val="32"/>
        </w:rPr>
        <w:t>发放高龄津贴1415.8万元，发放“长寿保健金”34.22万元。2020年全县共有80周岁以上老人8087人，全年发放高龄津贴289.7万元；全县共有百岁老人20人，全年发放“长寿保健金”</w:t>
      </w:r>
      <w:r>
        <w:rPr>
          <w:rFonts w:hint="default" w:ascii="Times New Roman" w:hAnsi="Times New Roman" w:eastAsia="文星仿宋" w:cs="Times New Roman"/>
          <w:color w:val="0C0C0C"/>
          <w:sz w:val="32"/>
          <w:szCs w:val="32"/>
          <w:lang w:eastAsia="zh-CN"/>
        </w:rPr>
        <w:t>约</w:t>
      </w:r>
      <w:r>
        <w:rPr>
          <w:rFonts w:hint="default" w:ascii="Times New Roman" w:hAnsi="Times New Roman" w:eastAsia="文星仿宋" w:cs="Times New Roman"/>
          <w:color w:val="0C0C0C"/>
          <w:sz w:val="32"/>
          <w:szCs w:val="32"/>
        </w:rPr>
        <w:t>8.2万元。</w:t>
      </w:r>
      <w:r>
        <w:rPr>
          <w:rFonts w:hint="default" w:ascii="Times New Roman" w:hAnsi="Times New Roman" w:eastAsia="文星仿宋" w:cs="Times New Roman"/>
          <w:b w:val="0"/>
          <w:bCs w:val="0"/>
          <w:color w:val="0C0C0C"/>
          <w:sz w:val="32"/>
          <w:szCs w:val="32"/>
        </w:rPr>
        <w:t>在全县普遍</w:t>
      </w:r>
      <w:r>
        <w:rPr>
          <w:rFonts w:hint="default" w:ascii="Times New Roman" w:hAnsi="Times New Roman" w:eastAsia="文星仿宋" w:cs="Times New Roman"/>
          <w:b w:val="0"/>
          <w:bCs w:val="0"/>
          <w:color w:val="0C0C0C"/>
          <w:sz w:val="32"/>
          <w:szCs w:val="32"/>
          <w:lang w:eastAsia="zh-CN"/>
        </w:rPr>
        <w:t>实行</w:t>
      </w:r>
      <w:r>
        <w:rPr>
          <w:rFonts w:hint="default" w:ascii="Times New Roman" w:hAnsi="Times New Roman" w:eastAsia="文星仿宋" w:cs="Times New Roman"/>
          <w:b w:val="0"/>
          <w:bCs w:val="0"/>
          <w:color w:val="0C0C0C"/>
          <w:sz w:val="32"/>
          <w:szCs w:val="32"/>
        </w:rPr>
        <w:t>老年人乘车、就医、旅游等优待政策，镇卫生院、县慢病站每年对65周岁以上老年人进行免费体检</w:t>
      </w:r>
      <w:r>
        <w:rPr>
          <w:rFonts w:hint="default" w:ascii="Times New Roman" w:hAnsi="Times New Roman" w:eastAsia="文星仿宋" w:cs="Times New Roman"/>
          <w:color w:val="0C0C0C"/>
          <w:sz w:val="32"/>
          <w:szCs w:val="32"/>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bCs/>
          <w:color w:val="0C0C0C"/>
          <w:sz w:val="32"/>
          <w:szCs w:val="32"/>
        </w:rPr>
        <w:t>全社会为老人服务意识明显提高</w:t>
      </w:r>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b w:val="0"/>
          <w:bCs w:val="0"/>
          <w:color w:val="0C0C0C"/>
          <w:sz w:val="32"/>
          <w:szCs w:val="32"/>
          <w:lang w:eastAsia="zh-CN"/>
        </w:rPr>
        <w:t>县委、县政府大力营造尊老敬老、爱老助老的社会新风尚。</w:t>
      </w:r>
      <w:r>
        <w:rPr>
          <w:rFonts w:hint="default" w:ascii="Times New Roman" w:hAnsi="Times New Roman" w:eastAsia="文星仿宋" w:cs="Times New Roman"/>
          <w:b w:val="0"/>
          <w:bCs w:val="0"/>
          <w:color w:val="0C0C0C"/>
          <w:sz w:val="32"/>
          <w:szCs w:val="32"/>
        </w:rPr>
        <w:t>养老服务机构</w:t>
      </w:r>
      <w:r>
        <w:rPr>
          <w:rFonts w:hint="default" w:ascii="Times New Roman" w:hAnsi="Times New Roman" w:eastAsia="文星仿宋" w:cs="Times New Roman"/>
          <w:b w:val="0"/>
          <w:bCs w:val="0"/>
          <w:color w:val="0C0C0C"/>
          <w:sz w:val="32"/>
          <w:szCs w:val="32"/>
          <w:lang w:eastAsia="zh-CN"/>
        </w:rPr>
        <w:t>在</w:t>
      </w:r>
      <w:r>
        <w:rPr>
          <w:rFonts w:hint="default" w:ascii="Times New Roman" w:hAnsi="Times New Roman" w:eastAsia="文星仿宋" w:cs="Times New Roman"/>
          <w:b w:val="0"/>
          <w:bCs w:val="0"/>
          <w:color w:val="0C0C0C"/>
          <w:sz w:val="32"/>
          <w:szCs w:val="32"/>
        </w:rPr>
        <w:t>“</w:t>
      </w:r>
      <w:r>
        <w:rPr>
          <w:rFonts w:hint="eastAsia" w:hAnsi="Times New Roman" w:eastAsia="文星仿宋" w:cs="Times New Roman"/>
          <w:b w:val="0"/>
          <w:bCs w:val="0"/>
          <w:color w:val="0C0C0C"/>
          <w:sz w:val="32"/>
          <w:szCs w:val="32"/>
          <w:lang w:val="en-US" w:eastAsia="zh-CN"/>
        </w:rPr>
        <w:t>端午节</w:t>
      </w:r>
      <w:r>
        <w:rPr>
          <w:rFonts w:hint="default" w:ascii="Times New Roman" w:hAnsi="Times New Roman" w:eastAsia="文星仿宋" w:cs="Times New Roman"/>
          <w:b w:val="0"/>
          <w:bCs w:val="0"/>
          <w:color w:val="0C0C0C"/>
          <w:sz w:val="32"/>
          <w:szCs w:val="32"/>
        </w:rPr>
        <w:t>”“重阳节”</w:t>
      </w:r>
      <w:r>
        <w:rPr>
          <w:rFonts w:hint="eastAsia" w:ascii="Times New Roman" w:hAnsi="Times New Roman" w:eastAsia="文星仿宋" w:cs="Times New Roman"/>
          <w:b w:val="0"/>
          <w:bCs w:val="0"/>
          <w:color w:val="0C0C0C"/>
          <w:sz w:val="32"/>
          <w:szCs w:val="32"/>
          <w:lang w:eastAsia="zh-CN"/>
        </w:rPr>
        <w:t>“</w:t>
      </w:r>
      <w:r>
        <w:rPr>
          <w:rFonts w:hint="eastAsia" w:ascii="Times New Roman" w:hAnsi="Times New Roman" w:eastAsia="文星仿宋" w:cs="Times New Roman"/>
          <w:b w:val="0"/>
          <w:bCs w:val="0"/>
          <w:color w:val="0C0C0C"/>
          <w:sz w:val="32"/>
          <w:szCs w:val="32"/>
          <w:lang w:val="en-US" w:eastAsia="zh-CN"/>
        </w:rPr>
        <w:t>中秋节</w:t>
      </w:r>
      <w:r>
        <w:rPr>
          <w:rFonts w:hint="eastAsia" w:ascii="Times New Roman" w:hAnsi="Times New Roman" w:eastAsia="文星仿宋" w:cs="Times New Roman"/>
          <w:b w:val="0"/>
          <w:bCs w:val="0"/>
          <w:color w:val="0C0C0C"/>
          <w:sz w:val="32"/>
          <w:szCs w:val="32"/>
          <w:lang w:eastAsia="zh-CN"/>
        </w:rPr>
        <w:t>”“</w:t>
      </w:r>
      <w:r>
        <w:rPr>
          <w:rFonts w:hint="eastAsia" w:ascii="Times New Roman" w:hAnsi="Times New Roman" w:eastAsia="文星仿宋" w:cs="Times New Roman"/>
          <w:b w:val="0"/>
          <w:bCs w:val="0"/>
          <w:color w:val="0C0C0C"/>
          <w:sz w:val="32"/>
          <w:szCs w:val="32"/>
          <w:lang w:val="en-US" w:eastAsia="zh-CN"/>
        </w:rPr>
        <w:t>春节</w:t>
      </w:r>
      <w:r>
        <w:rPr>
          <w:rFonts w:hint="eastAsia" w:ascii="Times New Roman" w:hAnsi="Times New Roman" w:eastAsia="文星仿宋" w:cs="Times New Roman"/>
          <w:b w:val="0"/>
          <w:bCs w:val="0"/>
          <w:color w:val="0C0C0C"/>
          <w:sz w:val="32"/>
          <w:szCs w:val="32"/>
          <w:lang w:eastAsia="zh-CN"/>
        </w:rPr>
        <w:t>”</w:t>
      </w:r>
      <w:r>
        <w:rPr>
          <w:rFonts w:hint="default" w:ascii="Times New Roman" w:hAnsi="Times New Roman" w:eastAsia="文星仿宋" w:cs="Times New Roman"/>
          <w:b w:val="0"/>
          <w:bCs w:val="0"/>
          <w:color w:val="0C0C0C"/>
          <w:sz w:val="32"/>
          <w:szCs w:val="32"/>
        </w:rPr>
        <w:t>等节日，开展各类老年文体活动，不断满足老年人的精神需求。积极发动社工、志愿者以及民间组织力量开展各</w:t>
      </w:r>
      <w:r>
        <w:rPr>
          <w:rFonts w:hint="default" w:ascii="Times New Roman" w:hAnsi="Times New Roman" w:eastAsia="文星仿宋" w:cs="Times New Roman"/>
          <w:b w:val="0"/>
          <w:bCs w:val="0"/>
          <w:color w:val="0C0C0C"/>
          <w:sz w:val="32"/>
          <w:szCs w:val="32"/>
          <w:lang w:eastAsia="zh-CN"/>
        </w:rPr>
        <w:t>类老年人</w:t>
      </w:r>
      <w:r>
        <w:rPr>
          <w:rFonts w:hint="default" w:ascii="Times New Roman" w:hAnsi="Times New Roman" w:eastAsia="文星仿宋" w:cs="Times New Roman"/>
          <w:b w:val="0"/>
          <w:bCs w:val="0"/>
          <w:color w:val="0C0C0C"/>
          <w:sz w:val="32"/>
          <w:szCs w:val="32"/>
        </w:rPr>
        <w:t>活动，丰富农村留守老</w:t>
      </w:r>
      <w:r>
        <w:rPr>
          <w:rFonts w:hint="default" w:ascii="Times New Roman" w:hAnsi="Times New Roman" w:eastAsia="文星仿宋" w:cs="Times New Roman"/>
          <w:b w:val="0"/>
          <w:bCs w:val="0"/>
          <w:color w:val="0C0C0C"/>
          <w:sz w:val="32"/>
          <w:szCs w:val="32"/>
          <w:lang w:eastAsia="zh-CN"/>
        </w:rPr>
        <w:t>年</w:t>
      </w:r>
      <w:r>
        <w:rPr>
          <w:rFonts w:hint="default" w:ascii="Times New Roman" w:hAnsi="Times New Roman" w:eastAsia="文星仿宋" w:cs="Times New Roman"/>
          <w:b w:val="0"/>
          <w:bCs w:val="0"/>
          <w:color w:val="0C0C0C"/>
          <w:sz w:val="32"/>
          <w:szCs w:val="32"/>
        </w:rPr>
        <w:t>人精神文化生活</w:t>
      </w:r>
      <w:r>
        <w:rPr>
          <w:rFonts w:hint="default" w:ascii="Times New Roman" w:hAnsi="Times New Roman" w:eastAsia="文星仿宋" w:cs="Times New Roman"/>
          <w:b w:val="0"/>
          <w:bCs w:val="0"/>
          <w:color w:val="0C0C0C"/>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b/>
          <w:bCs/>
          <w:color w:val="0C0C0C"/>
          <w:sz w:val="32"/>
          <w:szCs w:val="32"/>
          <w:lang w:eastAsia="zh-CN"/>
        </w:rPr>
      </w:pPr>
      <w:r>
        <w:rPr>
          <w:rFonts w:hint="default" w:ascii="Times New Roman" w:hAnsi="Times New Roman" w:eastAsia="文星仿宋" w:cs="Times New Roman"/>
          <w:b/>
          <w:bCs/>
          <w:color w:val="0C0C0C"/>
          <w:sz w:val="32"/>
          <w:szCs w:val="32"/>
        </w:rPr>
        <w:t>养老服务人才队伍素质快速提升</w:t>
      </w:r>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b w:val="0"/>
          <w:bCs w:val="0"/>
          <w:color w:val="0C0C0C"/>
          <w:sz w:val="32"/>
          <w:szCs w:val="32"/>
          <w:lang w:eastAsia="zh-CN"/>
        </w:rPr>
        <w:t>县政府</w:t>
      </w:r>
      <w:r>
        <w:rPr>
          <w:rFonts w:hint="default" w:ascii="Times New Roman" w:hAnsi="Times New Roman" w:eastAsia="文星仿宋" w:cs="Times New Roman"/>
          <w:b w:val="0"/>
          <w:bCs w:val="0"/>
          <w:color w:val="0C0C0C"/>
          <w:sz w:val="32"/>
          <w:szCs w:val="32"/>
        </w:rPr>
        <w:t>出台了《平远县理顺农村敬老院管理体制方案》</w:t>
      </w:r>
      <w:r>
        <w:rPr>
          <w:rFonts w:hint="default" w:ascii="Times New Roman" w:hAnsi="Times New Roman" w:eastAsia="文星仿宋" w:cs="Times New Roman"/>
          <w:b w:val="0"/>
          <w:bCs w:val="0"/>
          <w:color w:val="0C0C0C"/>
          <w:sz w:val="32"/>
          <w:szCs w:val="32"/>
          <w:lang w:eastAsia="zh-CN"/>
        </w:rPr>
        <w:t>、</w:t>
      </w:r>
      <w:r>
        <w:rPr>
          <w:rFonts w:hint="default" w:ascii="Times New Roman" w:hAnsi="Times New Roman" w:eastAsia="文星仿宋" w:cs="Times New Roman"/>
          <w:b w:val="0"/>
          <w:bCs w:val="0"/>
          <w:color w:val="0C0C0C"/>
          <w:sz w:val="32"/>
          <w:szCs w:val="32"/>
        </w:rPr>
        <w:t>《平远县农村敬老院管理服务人员聘用实施办法》</w:t>
      </w:r>
      <w:r>
        <w:rPr>
          <w:rFonts w:hint="default" w:ascii="Times New Roman" w:hAnsi="Times New Roman" w:eastAsia="文星仿宋" w:cs="Times New Roman"/>
          <w:b w:val="0"/>
          <w:bCs w:val="0"/>
          <w:color w:val="0C0C0C"/>
          <w:sz w:val="32"/>
          <w:szCs w:val="32"/>
          <w:lang w:eastAsia="zh-CN"/>
        </w:rPr>
        <w:t>等文件</w:t>
      </w:r>
      <w:r>
        <w:rPr>
          <w:rFonts w:hint="default" w:ascii="Times New Roman" w:hAnsi="Times New Roman" w:eastAsia="文星仿宋" w:cs="Times New Roman"/>
          <w:b w:val="0"/>
          <w:bCs w:val="0"/>
          <w:color w:val="0C0C0C"/>
          <w:sz w:val="32"/>
          <w:szCs w:val="32"/>
        </w:rPr>
        <w:t>，</w:t>
      </w:r>
      <w:r>
        <w:rPr>
          <w:rFonts w:hint="default" w:ascii="Times New Roman" w:hAnsi="Times New Roman" w:eastAsia="文星仿宋" w:cs="Times New Roman"/>
          <w:b w:val="0"/>
          <w:bCs w:val="0"/>
          <w:color w:val="0C0C0C"/>
          <w:sz w:val="32"/>
          <w:szCs w:val="32"/>
          <w:lang w:eastAsia="zh-CN"/>
        </w:rPr>
        <w:t>县民政局</w:t>
      </w:r>
      <w:r>
        <w:rPr>
          <w:rFonts w:hint="default" w:ascii="Times New Roman" w:hAnsi="Times New Roman" w:eastAsia="文星仿宋" w:cs="Times New Roman"/>
          <w:b w:val="0"/>
          <w:bCs w:val="0"/>
          <w:color w:val="0C0C0C"/>
          <w:sz w:val="32"/>
          <w:szCs w:val="32"/>
        </w:rPr>
        <w:t>统一编制了《敬老院管理制度汇编》，农村敬老院管理服务人员供给</w:t>
      </w:r>
      <w:r>
        <w:rPr>
          <w:rFonts w:hint="default" w:ascii="Times New Roman" w:hAnsi="Times New Roman" w:eastAsia="文星仿宋" w:cs="Times New Roman"/>
          <w:b w:val="0"/>
          <w:bCs w:val="0"/>
          <w:color w:val="0C0C0C"/>
          <w:sz w:val="32"/>
          <w:szCs w:val="32"/>
          <w:lang w:eastAsia="zh-CN"/>
        </w:rPr>
        <w:t>得到重点增强</w:t>
      </w:r>
      <w:r>
        <w:rPr>
          <w:rFonts w:hint="default" w:ascii="Times New Roman" w:hAnsi="Times New Roman" w:eastAsia="文星仿宋" w:cs="Times New Roman"/>
          <w:b w:val="0"/>
          <w:bCs w:val="0"/>
          <w:color w:val="0C0C0C"/>
          <w:sz w:val="32"/>
          <w:szCs w:val="32"/>
        </w:rPr>
        <w:t>。</w:t>
      </w:r>
      <w:r>
        <w:rPr>
          <w:rFonts w:hint="default" w:ascii="Times New Roman" w:hAnsi="Times New Roman" w:eastAsia="文星仿宋" w:cs="Times New Roman"/>
          <w:b w:val="0"/>
          <w:bCs w:val="0"/>
          <w:color w:val="0C0C0C"/>
          <w:sz w:val="32"/>
          <w:szCs w:val="32"/>
          <w:lang w:eastAsia="zh-CN"/>
        </w:rPr>
        <w:t>全县将</w:t>
      </w:r>
      <w:r>
        <w:rPr>
          <w:rFonts w:hint="default" w:ascii="Times New Roman" w:hAnsi="Times New Roman" w:eastAsia="文星仿宋" w:cs="Times New Roman"/>
          <w:b w:val="0"/>
          <w:bCs w:val="0"/>
          <w:color w:val="0C0C0C"/>
          <w:sz w:val="32"/>
          <w:szCs w:val="32"/>
        </w:rPr>
        <w:t>农村敬老院</w:t>
      </w:r>
      <w:r>
        <w:rPr>
          <w:rFonts w:hint="default" w:ascii="Times New Roman" w:hAnsi="Times New Roman" w:eastAsia="文星仿宋" w:cs="Times New Roman"/>
          <w:b w:val="0"/>
          <w:bCs w:val="0"/>
          <w:color w:val="0C0C0C"/>
          <w:sz w:val="32"/>
          <w:szCs w:val="32"/>
          <w:lang w:eastAsia="zh-CN"/>
        </w:rPr>
        <w:t>的管理服务人员</w:t>
      </w:r>
      <w:r>
        <w:rPr>
          <w:rFonts w:hint="default" w:ascii="Times New Roman" w:hAnsi="Times New Roman" w:eastAsia="文星仿宋" w:cs="Times New Roman"/>
          <w:b w:val="0"/>
          <w:bCs w:val="0"/>
          <w:color w:val="0C0C0C"/>
          <w:sz w:val="32"/>
          <w:szCs w:val="32"/>
        </w:rPr>
        <w:t>工资福利待遇列入县镇财政预算</w:t>
      </w:r>
      <w:r>
        <w:rPr>
          <w:rFonts w:hint="default" w:ascii="Times New Roman" w:hAnsi="Times New Roman" w:eastAsia="文星仿宋" w:cs="Times New Roman"/>
          <w:b w:val="0"/>
          <w:bCs w:val="0"/>
          <w:color w:val="0C0C0C"/>
          <w:sz w:val="32"/>
          <w:szCs w:val="32"/>
          <w:lang w:eastAsia="zh-CN"/>
        </w:rPr>
        <w:t>，充分</w:t>
      </w:r>
      <w:r>
        <w:rPr>
          <w:rFonts w:hint="default" w:ascii="Times New Roman" w:hAnsi="Times New Roman" w:eastAsia="文星仿宋" w:cs="Times New Roman"/>
          <w:b w:val="0"/>
          <w:bCs w:val="0"/>
          <w:color w:val="0C0C0C"/>
          <w:sz w:val="32"/>
          <w:szCs w:val="32"/>
        </w:rPr>
        <w:t>保</w:t>
      </w:r>
      <w:r>
        <w:rPr>
          <w:rFonts w:hint="default" w:ascii="Times New Roman" w:hAnsi="Times New Roman" w:eastAsia="文星仿宋" w:cs="Times New Roman"/>
          <w:b w:val="0"/>
          <w:bCs w:val="0"/>
          <w:color w:val="0C0C0C"/>
          <w:sz w:val="32"/>
          <w:szCs w:val="32"/>
          <w:lang w:eastAsia="zh-CN"/>
        </w:rPr>
        <w:t>其</w:t>
      </w:r>
      <w:r>
        <w:rPr>
          <w:rFonts w:hint="default" w:ascii="Times New Roman" w:hAnsi="Times New Roman" w:eastAsia="文星仿宋" w:cs="Times New Roman"/>
          <w:b w:val="0"/>
          <w:bCs w:val="0"/>
          <w:color w:val="0C0C0C"/>
          <w:sz w:val="32"/>
          <w:szCs w:val="32"/>
        </w:rPr>
        <w:t>合理待遇</w:t>
      </w:r>
      <w:r>
        <w:rPr>
          <w:rFonts w:hint="default" w:ascii="Times New Roman" w:hAnsi="Times New Roman" w:eastAsia="文星仿宋" w:cs="Times New Roman"/>
          <w:b w:val="0"/>
          <w:bCs w:val="0"/>
          <w:color w:val="0C0C0C"/>
          <w:sz w:val="32"/>
          <w:szCs w:val="32"/>
          <w:lang w:eastAsia="zh-CN"/>
        </w:rPr>
        <w:t>。根据全</w:t>
      </w:r>
      <w:r>
        <w:rPr>
          <w:rFonts w:hint="default" w:ascii="Times New Roman" w:hAnsi="Times New Roman" w:eastAsia="文星仿宋" w:cs="Times New Roman"/>
          <w:b w:val="0"/>
          <w:bCs w:val="0"/>
          <w:color w:val="0C0C0C"/>
          <w:sz w:val="32"/>
          <w:szCs w:val="32"/>
        </w:rPr>
        <w:t>县从事养老护理员大多是下岗的“4050”人员和农村进城务工人员</w:t>
      </w:r>
      <w:r>
        <w:rPr>
          <w:rFonts w:hint="default" w:ascii="Times New Roman" w:hAnsi="Times New Roman" w:eastAsia="文星仿宋" w:cs="Times New Roman"/>
          <w:b w:val="0"/>
          <w:bCs w:val="0"/>
          <w:color w:val="0C0C0C"/>
          <w:sz w:val="32"/>
          <w:szCs w:val="32"/>
          <w:lang w:eastAsia="zh-CN"/>
        </w:rPr>
        <w:t>的实际特点</w:t>
      </w:r>
      <w:r>
        <w:rPr>
          <w:rFonts w:hint="default" w:ascii="Times New Roman" w:hAnsi="Times New Roman" w:eastAsia="文星仿宋" w:cs="Times New Roman"/>
          <w:b w:val="0"/>
          <w:bCs w:val="0"/>
          <w:color w:val="0C0C0C"/>
          <w:sz w:val="32"/>
          <w:szCs w:val="32"/>
        </w:rPr>
        <w:t>，</w:t>
      </w:r>
      <w:r>
        <w:rPr>
          <w:rFonts w:hint="default" w:ascii="Times New Roman" w:hAnsi="Times New Roman" w:eastAsia="文星仿宋" w:cs="Times New Roman"/>
          <w:b w:val="0"/>
          <w:bCs w:val="0"/>
          <w:color w:val="0C0C0C"/>
          <w:sz w:val="32"/>
          <w:szCs w:val="32"/>
          <w:lang w:eastAsia="zh-CN"/>
        </w:rPr>
        <w:t>针对性制定了</w:t>
      </w:r>
      <w:r>
        <w:rPr>
          <w:rFonts w:hint="default" w:ascii="Times New Roman" w:hAnsi="Times New Roman" w:eastAsia="文星仿宋" w:cs="Times New Roman"/>
          <w:b w:val="0"/>
          <w:bCs w:val="0"/>
          <w:color w:val="0C0C0C"/>
          <w:sz w:val="32"/>
          <w:szCs w:val="32"/>
        </w:rPr>
        <w:t>养老护理人员素质</w:t>
      </w:r>
      <w:r>
        <w:rPr>
          <w:rFonts w:hint="default" w:ascii="Times New Roman" w:hAnsi="Times New Roman" w:eastAsia="文星仿宋" w:cs="Times New Roman"/>
          <w:b w:val="0"/>
          <w:bCs w:val="0"/>
          <w:color w:val="0C0C0C"/>
          <w:sz w:val="32"/>
          <w:szCs w:val="32"/>
          <w:lang w:eastAsia="zh-CN"/>
        </w:rPr>
        <w:t>提升计划。</w:t>
      </w:r>
      <w:r>
        <w:rPr>
          <w:rFonts w:hint="default" w:ascii="Times New Roman" w:hAnsi="Times New Roman" w:eastAsia="文星仿宋" w:cs="Times New Roman"/>
          <w:b w:val="0"/>
          <w:bCs w:val="0"/>
          <w:color w:val="0C0C0C"/>
          <w:sz w:val="32"/>
          <w:szCs w:val="32"/>
        </w:rPr>
        <w:t>组织各镇敬老院、县福利院和县托老中心的养老护理人员</w:t>
      </w:r>
      <w:r>
        <w:rPr>
          <w:rFonts w:hint="default" w:ascii="Times New Roman" w:hAnsi="Times New Roman" w:eastAsia="文星仿宋" w:cs="Times New Roman"/>
          <w:b w:val="0"/>
          <w:bCs w:val="0"/>
          <w:color w:val="0C0C0C"/>
          <w:sz w:val="32"/>
          <w:szCs w:val="32"/>
          <w:lang w:eastAsia="zh-CN"/>
        </w:rPr>
        <w:t>参加</w:t>
      </w:r>
      <w:r>
        <w:rPr>
          <w:rFonts w:hint="default" w:ascii="Times New Roman" w:hAnsi="Times New Roman" w:eastAsia="文星仿宋" w:cs="Times New Roman"/>
          <w:b w:val="0"/>
          <w:bCs w:val="0"/>
          <w:color w:val="0C0C0C"/>
          <w:sz w:val="32"/>
          <w:szCs w:val="32"/>
        </w:rPr>
        <w:t>市</w:t>
      </w:r>
      <w:r>
        <w:rPr>
          <w:rFonts w:hint="default" w:ascii="Times New Roman" w:hAnsi="Times New Roman" w:eastAsia="文星仿宋" w:cs="Times New Roman"/>
          <w:b w:val="0"/>
          <w:bCs w:val="0"/>
          <w:color w:val="0C0C0C"/>
          <w:sz w:val="32"/>
          <w:szCs w:val="32"/>
          <w:lang w:eastAsia="zh-CN"/>
        </w:rPr>
        <w:t>级</w:t>
      </w:r>
      <w:r>
        <w:rPr>
          <w:rFonts w:hint="default" w:ascii="Times New Roman" w:hAnsi="Times New Roman" w:eastAsia="文星仿宋" w:cs="Times New Roman"/>
          <w:b w:val="0"/>
          <w:bCs w:val="0"/>
          <w:color w:val="0C0C0C"/>
          <w:sz w:val="32"/>
          <w:szCs w:val="32"/>
        </w:rPr>
        <w:t>职业技能培训和职业资格认证</w:t>
      </w:r>
      <w:r>
        <w:rPr>
          <w:rFonts w:hint="default" w:ascii="Times New Roman" w:hAnsi="Times New Roman" w:eastAsia="文星仿宋" w:cs="Times New Roman"/>
          <w:b w:val="0"/>
          <w:bCs w:val="0"/>
          <w:color w:val="0C0C0C"/>
          <w:sz w:val="32"/>
          <w:szCs w:val="32"/>
          <w:lang w:eastAsia="zh-CN"/>
        </w:rPr>
        <w:t>。</w:t>
      </w:r>
    </w:p>
    <w:p>
      <w:pPr>
        <w:pStyle w:val="4"/>
        <w:keepNext/>
        <w:keepLines/>
        <w:pageBreakBefore w:val="0"/>
        <w:widowControl w:val="0"/>
        <w:numPr>
          <w:ilvl w:val="0"/>
          <w:numId w:val="0"/>
        </w:numPr>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36" w:name="_Toc31756"/>
      <w:bookmarkStart w:id="37" w:name="_Toc1350"/>
      <w:bookmarkStart w:id="38" w:name="_Toc16900"/>
      <w:bookmarkStart w:id="39" w:name="_Toc15518"/>
      <w:bookmarkStart w:id="40" w:name="_Toc6912"/>
      <w:r>
        <w:rPr>
          <w:rFonts w:hint="default" w:ascii="Times New Roman" w:hAnsi="Times New Roman" w:eastAsia="文星楷体" w:cs="Times New Roman"/>
          <w:b w:val="0"/>
          <w:bCs/>
          <w:color w:val="0C0C0C"/>
          <w:sz w:val="32"/>
          <w:szCs w:val="20"/>
          <w:lang w:eastAsia="zh-CN"/>
        </w:rPr>
        <w:t>第</w:t>
      </w:r>
      <w:r>
        <w:rPr>
          <w:rFonts w:hint="default" w:ascii="Times New Roman" w:hAnsi="Times New Roman" w:eastAsia="文星楷体" w:cs="Times New Roman"/>
          <w:b w:val="0"/>
          <w:bCs/>
          <w:color w:val="0C0C0C"/>
          <w:sz w:val="32"/>
          <w:szCs w:val="20"/>
          <w:lang w:val="en-US" w:eastAsia="zh-CN"/>
        </w:rPr>
        <w:t>二</w:t>
      </w:r>
      <w:r>
        <w:rPr>
          <w:rFonts w:hint="default" w:ascii="Times New Roman" w:hAnsi="Times New Roman" w:eastAsia="文星楷体" w:cs="Times New Roman"/>
          <w:b w:val="0"/>
          <w:bCs/>
          <w:color w:val="0C0C0C"/>
          <w:sz w:val="32"/>
          <w:szCs w:val="20"/>
          <w:lang w:eastAsia="zh-CN"/>
        </w:rPr>
        <w:t>节</w:t>
      </w:r>
      <w:r>
        <w:rPr>
          <w:rFonts w:hint="default" w:ascii="Times New Roman" w:hAnsi="Times New Roman" w:eastAsia="文星楷体" w:cs="Times New Roman"/>
          <w:b w:val="0"/>
          <w:bCs/>
          <w:color w:val="0C0C0C"/>
          <w:sz w:val="32"/>
          <w:szCs w:val="20"/>
          <w:lang w:val="en-US" w:eastAsia="zh-CN"/>
        </w:rPr>
        <w:t xml:space="preserve"> 形势机遇</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lang w:val="en-US"/>
        </w:rPr>
      </w:pPr>
      <w:bookmarkStart w:id="41" w:name="_Toc25773"/>
      <w:bookmarkStart w:id="42" w:name="_Toc14944"/>
      <w:bookmarkStart w:id="43" w:name="_Toc26608"/>
      <w:bookmarkStart w:id="44" w:name="_Toc4784"/>
      <w:bookmarkStart w:id="45" w:name="_Toc22079"/>
      <w:bookmarkStart w:id="46" w:name="_Toc15953"/>
      <w:bookmarkStart w:id="47" w:name="_Toc17323"/>
      <w:bookmarkStart w:id="48" w:name="_Toc6266"/>
      <w:bookmarkStart w:id="49" w:name="_Toc20545"/>
      <w:r>
        <w:rPr>
          <w:rFonts w:hint="default" w:ascii="Times New Roman" w:hAnsi="Times New Roman" w:eastAsia="文星仿宋" w:cs="Times New Roman"/>
          <w:b/>
          <w:bCs/>
          <w:color w:val="0C0C0C"/>
          <w:sz w:val="32"/>
          <w:szCs w:val="32"/>
          <w:lang w:eastAsia="zh-CN"/>
        </w:rPr>
        <w:t>制约因素。</w:t>
      </w:r>
      <w:r>
        <w:rPr>
          <w:rFonts w:hint="eastAsia" w:ascii="Times New Roman" w:hAnsi="Times New Roman" w:eastAsia="文星仿宋" w:cs="Times New Roman"/>
          <w:b w:val="0"/>
          <w:bCs w:val="0"/>
          <w:color w:val="0C0C0C"/>
          <w:sz w:val="32"/>
          <w:szCs w:val="32"/>
          <w:lang w:val="en-US" w:eastAsia="zh-CN"/>
        </w:rPr>
        <w:t>居家社区养老服务仍处于起步发展阶段，养老投入不足，社区养老服务中心暂不具备日间照料的养老服务功能，居家养老服务中心（站）、农村幸福院等缺乏专业运营服务人员。公办养老机构社会化改革引发社会疑虑，担忧产生经营者将国有资产转化为企业资产而造成国有资产流失、机构偏离公益性等不良后果。全县养老机构普遍规模小、设施环境简陋、功能单一。农村养老服务短板突出，农村养老服务基础设施薄弱、养老服务力量欠缺、有效帮扶对接与供给不足等。养老服务专业人才短缺，缺口大、流失率高、高素质人才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b/>
          <w:bCs/>
          <w:color w:val="0C0C0C"/>
          <w:sz w:val="32"/>
          <w:szCs w:val="32"/>
          <w:lang w:eastAsia="zh-CN"/>
        </w:rPr>
      </w:pPr>
      <w:r>
        <w:rPr>
          <w:rFonts w:hint="default" w:ascii="Times New Roman" w:hAnsi="Times New Roman" w:eastAsia="文星仿宋" w:cs="Times New Roman"/>
          <w:b/>
          <w:bCs/>
          <w:color w:val="0C0C0C"/>
          <w:sz w:val="32"/>
          <w:szCs w:val="32"/>
          <w:lang w:eastAsia="zh-CN"/>
        </w:rPr>
        <w:t>面临挑战。</w:t>
      </w:r>
      <w:r>
        <w:rPr>
          <w:rFonts w:hint="default" w:ascii="Times New Roman" w:hAnsi="Times New Roman" w:eastAsia="文星仿宋" w:cs="Times New Roman"/>
          <w:b w:val="0"/>
          <w:bCs w:val="0"/>
          <w:color w:val="0C0C0C"/>
          <w:sz w:val="32"/>
          <w:szCs w:val="32"/>
          <w:lang w:val="en-US" w:eastAsia="zh-CN"/>
        </w:rPr>
        <w:t>根据2020年第七次人口普查结果，全县60周岁及以上的常住老年人4.15万，占常住人口的21.78%，其中65岁及以上人口为3.09万人，占16.24%。</w:t>
      </w:r>
      <w:r>
        <w:rPr>
          <w:rFonts w:hint="default" w:ascii="Times New Roman" w:hAnsi="Times New Roman" w:eastAsia="文星仿宋" w:cs="Times New Roman"/>
          <w:color w:val="0C0C0C"/>
          <w:sz w:val="32"/>
          <w:szCs w:val="32"/>
        </w:rPr>
        <w:t>少子化、家庭规模小型化日趋明显</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未富先老现象逐步显现</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第一代独生子女父母即将进入中高龄</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传统家庭养老功能持续弱化</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空巢</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留守、独居</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失能等老年人家庭数量大幅增加，基本养老服务需求日趋旺盛，高龄失能长期照护刚性需求不断增大</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b w:val="0"/>
          <w:bCs w:val="0"/>
          <w:color w:val="0C0C0C"/>
          <w:sz w:val="32"/>
          <w:szCs w:val="32"/>
          <w:lang w:val="en-US" w:eastAsia="zh-CN"/>
        </w:rPr>
        <w:t>全县大量留守老人、空巢老人生活在农村，这些老龄人口难以得到较好的生活照料或无法得到照料，普遍产生失落感、孤独感、衰老感。</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文星仿宋" w:cs="Times New Roman"/>
          <w:b/>
          <w:bCs/>
          <w:color w:val="0C0C0C"/>
          <w:kern w:val="2"/>
          <w:sz w:val="32"/>
          <w:szCs w:val="32"/>
          <w:lang w:val="en-US" w:eastAsia="zh-CN" w:bidi="ar-SA"/>
        </w:rPr>
      </w:pPr>
      <w:r>
        <w:rPr>
          <w:rFonts w:hint="default" w:ascii="Times New Roman" w:hAnsi="Times New Roman" w:eastAsia="文星仿宋" w:cs="Times New Roman"/>
          <w:b/>
          <w:bCs/>
          <w:color w:val="0C0C0C"/>
          <w:kern w:val="2"/>
          <w:sz w:val="32"/>
          <w:szCs w:val="32"/>
          <w:lang w:val="en-US" w:eastAsia="zh-CN" w:bidi="ar-SA"/>
        </w:rPr>
        <w:t>发展优势。</w:t>
      </w:r>
      <w:r>
        <w:rPr>
          <w:rFonts w:hint="default" w:ascii="Times New Roman" w:hAnsi="Times New Roman" w:eastAsia="文星仿宋" w:cs="Times New Roman"/>
          <w:b w:val="0"/>
          <w:bCs w:val="0"/>
          <w:color w:val="0C0C0C"/>
          <w:sz w:val="32"/>
          <w:szCs w:val="32"/>
          <w:lang w:val="en-US" w:eastAsia="zh-CN"/>
        </w:rPr>
        <w:t>我县地处粤闽赣三省交界处，是世界客都文化始祖地、中央苏区红色港湾、中国最美生态休闲旅游名县、全国休闲农业与乡村旅游示范县。紧紧围绕全省“一核一带一区”、全市“五星争辉”区域发展布局，构建“一城一区一带”科学发展新格局，树立打造优山美水生态之星“精致小城·大美平远”发展目标。山清水秀、干净整洁的“高颜值”和宜居宜业、平安幸福的“深内涵”，悠久的历史文化、良好的人文旅游资源，极利于老年人心灵陶冶和心情愉悦，必将吸引更多社会资本投资我县的养老产业</w:t>
      </w:r>
      <w:r>
        <w:rPr>
          <w:rFonts w:hint="default" w:ascii="Times New Roman" w:hAnsi="Times New Roman" w:eastAsia="文星仿宋" w:cs="Times New Roman"/>
          <w:color w:val="0C0C0C"/>
          <w:sz w:val="32"/>
          <w:szCs w:val="32"/>
        </w:rPr>
        <w:t>。</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b/>
          <w:bCs/>
          <w:color w:val="0C0C0C"/>
          <w:kern w:val="2"/>
          <w:sz w:val="32"/>
          <w:szCs w:val="32"/>
          <w:lang w:val="en-US" w:eastAsia="zh-CN" w:bidi="ar-SA"/>
        </w:rPr>
        <w:t>机遇前景。</w:t>
      </w:r>
      <w:bookmarkEnd w:id="41"/>
      <w:bookmarkEnd w:id="42"/>
      <w:bookmarkEnd w:id="43"/>
      <w:bookmarkEnd w:id="44"/>
      <w:bookmarkEnd w:id="45"/>
      <w:bookmarkEnd w:id="46"/>
      <w:bookmarkEnd w:id="47"/>
      <w:bookmarkEnd w:id="48"/>
      <w:bookmarkEnd w:id="49"/>
      <w:r>
        <w:rPr>
          <w:rFonts w:hint="default" w:ascii="Times New Roman" w:hAnsi="Times New Roman" w:eastAsia="文星仿宋" w:cs="Times New Roman"/>
          <w:color w:val="0C0C0C"/>
          <w:sz w:val="32"/>
          <w:szCs w:val="32"/>
        </w:rPr>
        <w:t>习近平总书记指出，满足数量庞大的老年群众多方面需求、妥善解决人口老龄化带来的社会问题，事关国家发展全局，事关百姓福祉，需要我们下大气力来应对。党的十九届五中全会将“积极应对人口老龄化”上升为国家战略，各级政府建立养老服务联席会议制度统筹推进养老服务工作，养老服务事业摆上重要日程，养老服务发展纳入国民经济和社会发展规划。随着养老服务市场的全面放开，养老服务行业热度持续升温，养老服务产业发展势头迅猛，社会各界力量不断涌入，市场活力得到持续激发</w:t>
      </w:r>
      <w:r>
        <w:rPr>
          <w:rFonts w:hint="default" w:ascii="Times New Roman" w:hAnsi="Times New Roman" w:eastAsia="文星仿宋" w:cs="Times New Roman"/>
          <w:color w:val="0C0C0C"/>
          <w:sz w:val="32"/>
          <w:szCs w:val="32"/>
          <w:lang w:eastAsia="zh-CN"/>
        </w:rPr>
        <w:t>。</w:t>
      </w:r>
    </w:p>
    <w:p>
      <w:pPr>
        <w:pStyle w:val="4"/>
        <w:keepNext/>
        <w:keepLines/>
        <w:pageBreakBefore w:val="0"/>
        <w:widowControl w:val="0"/>
        <w:numPr>
          <w:ilvl w:val="0"/>
          <w:numId w:val="0"/>
        </w:numPr>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50" w:name="_Toc17843"/>
      <w:bookmarkStart w:id="51" w:name="_Toc31314"/>
      <w:bookmarkStart w:id="52" w:name="_Toc4637"/>
      <w:bookmarkStart w:id="53" w:name="_Toc18473"/>
      <w:bookmarkStart w:id="54" w:name="_Toc15109"/>
      <w:bookmarkStart w:id="55" w:name="_Toc28506"/>
      <w:bookmarkStart w:id="56" w:name="_Toc24606"/>
      <w:bookmarkStart w:id="57" w:name="_Toc30770"/>
      <w:bookmarkStart w:id="58" w:name="_Toc13336"/>
      <w:bookmarkStart w:id="59" w:name="_Toc183"/>
      <w:bookmarkStart w:id="60" w:name="_Toc4230"/>
      <w:bookmarkStart w:id="61" w:name="_Toc24936"/>
      <w:bookmarkStart w:id="62" w:name="_Toc22405"/>
      <w:bookmarkStart w:id="63" w:name="_Toc31739"/>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总体要求</w:t>
      </w:r>
      <w:bookmarkEnd w:id="50"/>
      <w:bookmarkEnd w:id="51"/>
      <w:bookmarkEnd w:id="52"/>
      <w:bookmarkEnd w:id="53"/>
      <w:bookmarkEnd w:id="54"/>
    </w:p>
    <w:bookmarkEnd w:id="55"/>
    <w:bookmarkEnd w:id="56"/>
    <w:bookmarkEnd w:id="57"/>
    <w:bookmarkEnd w:id="58"/>
    <w:bookmarkEnd w:id="59"/>
    <w:bookmarkEnd w:id="60"/>
    <w:bookmarkEnd w:id="61"/>
    <w:bookmarkEnd w:id="62"/>
    <w:bookmarkEnd w:id="63"/>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bookmarkStart w:id="64" w:name="_Toc17925"/>
      <w:bookmarkStart w:id="65" w:name="_Toc4381"/>
      <w:bookmarkStart w:id="66" w:name="_Toc20411"/>
      <w:bookmarkStart w:id="67" w:name="_Toc4359"/>
      <w:bookmarkStart w:id="68" w:name="_Toc8361"/>
      <w:bookmarkStart w:id="69" w:name="_Toc30504"/>
      <w:bookmarkStart w:id="70" w:name="_Toc30397"/>
      <w:bookmarkStart w:id="71" w:name="_Toc971"/>
      <w:bookmarkStart w:id="72" w:name="_Toc17241"/>
      <w:r>
        <w:rPr>
          <w:rFonts w:hint="default" w:ascii="Times New Roman" w:hAnsi="Times New Roman" w:eastAsia="文星仿宋" w:cs="Times New Roman"/>
          <w:b/>
          <w:bCs/>
          <w:color w:val="0C0C0C"/>
          <w:sz w:val="32"/>
          <w:szCs w:val="32"/>
        </w:rPr>
        <w:t>指导思想</w:t>
      </w:r>
      <w:bookmarkEnd w:id="64"/>
      <w:bookmarkEnd w:id="65"/>
      <w:bookmarkEnd w:id="66"/>
      <w:bookmarkEnd w:id="67"/>
      <w:bookmarkEnd w:id="68"/>
      <w:bookmarkEnd w:id="69"/>
      <w:bookmarkEnd w:id="70"/>
      <w:bookmarkEnd w:id="71"/>
      <w:bookmarkEnd w:id="72"/>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color w:val="0C0C0C"/>
          <w:sz w:val="32"/>
          <w:szCs w:val="32"/>
        </w:rPr>
        <w:t>以习近平新时代中国特色社会主义思想为指导</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深入贯彻党的十九大和十九届二中、三中、四中、五中</w:t>
      </w:r>
      <w:r>
        <w:rPr>
          <w:rFonts w:hint="default" w:ascii="Times New Roman" w:hAnsi="Times New Roman" w:eastAsia="文星仿宋" w:cs="Times New Roman"/>
          <w:color w:val="0C0C0C"/>
          <w:sz w:val="32"/>
          <w:szCs w:val="32"/>
          <w:lang w:eastAsia="zh-CN"/>
        </w:rPr>
        <w:t>、六中</w:t>
      </w:r>
      <w:r>
        <w:rPr>
          <w:rFonts w:hint="default" w:ascii="Times New Roman" w:hAnsi="Times New Roman" w:eastAsia="文星仿宋" w:cs="Times New Roman"/>
          <w:color w:val="0C0C0C"/>
          <w:sz w:val="32"/>
          <w:szCs w:val="32"/>
        </w:rPr>
        <w:t>全会精神，深入贯彻落实习近平总书记对养老服务工作的重要指示批示精神和对广东的重要讲话、重要指示精神，坚持以人民为中心的发展思想，坚持稳中求进的工作总基调，贯彻落实积极应对人口老龄化国家战略，将养老服务工作融入经济社会发展大局。集中抓好党中央、国务院、省、市各项决策部署的落实，</w:t>
      </w:r>
      <w:r>
        <w:rPr>
          <w:rFonts w:hint="default" w:ascii="Times New Roman" w:hAnsi="Times New Roman" w:eastAsia="文星仿宋" w:cs="Times New Roman"/>
          <w:color w:val="0C0C0C"/>
          <w:sz w:val="32"/>
          <w:szCs w:val="32"/>
          <w:lang w:eastAsia="zh-CN"/>
        </w:rPr>
        <w:t>以基本养老服务体系建设为抓手，以满足老年人日益增长的多样化、多层次养老服务需求为目的，</w:t>
      </w:r>
      <w:r>
        <w:rPr>
          <w:rFonts w:hint="default" w:ascii="Times New Roman" w:hAnsi="Times New Roman" w:eastAsia="文星仿宋" w:cs="Times New Roman"/>
          <w:color w:val="0C0C0C"/>
          <w:sz w:val="32"/>
          <w:szCs w:val="32"/>
        </w:rPr>
        <w:t>构建居家社区机构相协调、医养康养相结合的养老服务体系</w:t>
      </w:r>
      <w:r>
        <w:rPr>
          <w:rFonts w:hint="default" w:ascii="Times New Roman" w:hAnsi="Times New Roman" w:eastAsia="文星仿宋" w:cs="Times New Roman"/>
          <w:color w:val="0C0C0C"/>
          <w:sz w:val="32"/>
          <w:szCs w:val="32"/>
          <w:lang w:eastAsia="zh-CN"/>
        </w:rPr>
        <w:t>，不断</w:t>
      </w:r>
      <w:r>
        <w:rPr>
          <w:rFonts w:hint="default" w:ascii="Times New Roman" w:hAnsi="Times New Roman" w:eastAsia="文星仿宋" w:cs="Times New Roman"/>
          <w:color w:val="0C0C0C"/>
          <w:sz w:val="32"/>
          <w:szCs w:val="32"/>
        </w:rPr>
        <w:t>增加优质养老服务供给，推动养老事业和养老产业协同发展</w:t>
      </w:r>
      <w:r>
        <w:rPr>
          <w:rFonts w:hint="default" w:ascii="Times New Roman" w:hAnsi="Times New Roman" w:eastAsia="文星仿宋" w:cs="Times New Roman"/>
          <w:b w:val="0"/>
          <w:bCs w:val="0"/>
          <w:color w:val="0C0C0C"/>
          <w:kern w:val="2"/>
          <w:sz w:val="32"/>
          <w:szCs w:val="32"/>
          <w:lang w:val="en-US" w:eastAsia="zh-CN" w:bidi="ar-SA"/>
        </w:rPr>
        <w:t>，让全县人民在老龄化社会中的获得感成色更足、幸福感更</w:t>
      </w:r>
      <w:r>
        <w:rPr>
          <w:rFonts w:hint="eastAsia" w:ascii="Times New Roman" w:hAnsi="Times New Roman" w:eastAsia="文星仿宋" w:cs="Times New Roman"/>
          <w:b w:val="0"/>
          <w:bCs w:val="0"/>
          <w:color w:val="0C0C0C"/>
          <w:kern w:val="2"/>
          <w:sz w:val="32"/>
          <w:szCs w:val="32"/>
          <w:lang w:val="en-US" w:eastAsia="zh-CN" w:bidi="ar-SA"/>
        </w:rPr>
        <w:t>可</w:t>
      </w:r>
      <w:r>
        <w:rPr>
          <w:rFonts w:hint="default" w:ascii="Times New Roman" w:hAnsi="Times New Roman" w:eastAsia="文星仿宋" w:cs="Times New Roman"/>
          <w:b w:val="0"/>
          <w:bCs w:val="0"/>
          <w:color w:val="0C0C0C"/>
          <w:kern w:val="2"/>
          <w:sz w:val="32"/>
          <w:szCs w:val="32"/>
          <w:lang w:val="en-US" w:eastAsia="zh-CN" w:bidi="ar-SA"/>
        </w:rPr>
        <w:t>持续、安全感更有保障，努力打造领跑全市的平远特色养老品牌</w:t>
      </w:r>
      <w:r>
        <w:rPr>
          <w:rFonts w:hint="default" w:ascii="Times New Roman" w:hAnsi="Times New Roman" w:eastAsia="文星仿宋" w:cs="Times New Roman"/>
          <w:color w:val="0C0C0C"/>
          <w:sz w:val="32"/>
          <w:szCs w:val="32"/>
        </w:rPr>
        <w:t>。</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文星仿宋" w:cs="Times New Roman"/>
          <w:b w:val="0"/>
          <w:bCs w:val="0"/>
          <w:color w:val="0C0C0C"/>
          <w:sz w:val="32"/>
          <w:szCs w:val="32"/>
        </w:rPr>
      </w:pPr>
      <w:r>
        <w:rPr>
          <w:rFonts w:hint="default" w:ascii="Times New Roman" w:hAnsi="Times New Roman" w:eastAsia="文星仿宋" w:cs="Times New Roman"/>
          <w:b/>
          <w:bCs/>
          <w:color w:val="0C0C0C"/>
          <w:sz w:val="32"/>
          <w:szCs w:val="32"/>
          <w:lang w:eastAsia="zh-CN"/>
        </w:rPr>
        <w:t>基本原则。</w:t>
      </w:r>
      <w:r>
        <w:rPr>
          <w:rFonts w:hint="default" w:ascii="Times New Roman" w:hAnsi="Times New Roman" w:eastAsia="文星仿宋" w:cs="Times New Roman"/>
          <w:b w:val="0"/>
          <w:bCs w:val="0"/>
          <w:color w:val="0C0C0C"/>
          <w:sz w:val="32"/>
          <w:szCs w:val="32"/>
          <w:lang w:eastAsia="zh-CN"/>
        </w:rPr>
        <w:t>“十四五”期间，全县养老服务体系建设要立足于新发展阶段，贯彻新发展理念，构建新发展格局，推动高质量发展，应遵循和坚持以下原则：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lang w:eastAsia="zh-CN"/>
        </w:rPr>
        <w:t>——党委领导</w:t>
      </w:r>
      <w:r>
        <w:rPr>
          <w:rFonts w:hint="default" w:ascii="Times New Roman" w:hAnsi="Times New Roman" w:eastAsia="文星仿宋" w:cs="Times New Roman"/>
          <w:b/>
          <w:bCs/>
          <w:color w:val="0C0C0C"/>
          <w:sz w:val="32"/>
          <w:szCs w:val="32"/>
        </w:rPr>
        <w:t>，合力共建。</w:t>
      </w:r>
      <w:r>
        <w:rPr>
          <w:rFonts w:hint="default" w:ascii="Times New Roman" w:hAnsi="Times New Roman" w:eastAsia="文星仿宋" w:cs="Times New Roman"/>
          <w:color w:val="0C0C0C"/>
          <w:sz w:val="32"/>
          <w:szCs w:val="32"/>
        </w:rPr>
        <w:t>坚持供给与需求双侧发力，充分发挥各级党委的统筹领导作用</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政府</w:t>
      </w:r>
      <w:r>
        <w:rPr>
          <w:rFonts w:hint="default" w:ascii="Times New Roman" w:hAnsi="Times New Roman" w:eastAsia="文星仿宋" w:cs="Times New Roman"/>
          <w:color w:val="0C0C0C"/>
          <w:sz w:val="32"/>
          <w:szCs w:val="32"/>
          <w:lang w:eastAsia="zh-CN"/>
        </w:rPr>
        <w:t>兜底线、保基本和</w:t>
      </w:r>
      <w:r>
        <w:rPr>
          <w:rFonts w:hint="default" w:ascii="Times New Roman" w:hAnsi="Times New Roman" w:eastAsia="文星仿宋" w:cs="Times New Roman"/>
          <w:color w:val="0C0C0C"/>
          <w:sz w:val="32"/>
          <w:szCs w:val="32"/>
        </w:rPr>
        <w:t>政策引导作用</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市场在资源配置中的决定作用、社会力量在养老服务中的主体作用</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家庭在养老服务中的基础作用，汇聚养老服务各方参与合力，形成政府、市场、社会、家庭共建共享的新时代养老服务发展格局。</w:t>
      </w:r>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b/>
          <w:bCs/>
          <w:color w:val="0C0C0C"/>
          <w:sz w:val="32"/>
          <w:szCs w:val="32"/>
        </w:rPr>
        <w:t>保障基本，统筹协调。</w:t>
      </w:r>
      <w:r>
        <w:rPr>
          <w:rFonts w:hint="default" w:ascii="Times New Roman" w:hAnsi="Times New Roman" w:eastAsia="文星仿宋" w:cs="Times New Roman"/>
          <w:color w:val="0C0C0C"/>
          <w:sz w:val="32"/>
          <w:szCs w:val="32"/>
        </w:rPr>
        <w:t>坚持基本与普惠双向并举，强化政府兜底线、保基本职能，兜住特困老年人基本生活底线</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重点优先保障特殊困难老年人群体的基本养老服务需求。</w:t>
      </w:r>
      <w:r>
        <w:rPr>
          <w:rFonts w:hint="default" w:ascii="Times New Roman" w:hAnsi="Times New Roman" w:eastAsia="文星仿宋" w:cs="Times New Roman"/>
          <w:color w:val="0C0C0C"/>
          <w:sz w:val="32"/>
          <w:szCs w:val="32"/>
          <w:lang w:eastAsia="zh-CN"/>
        </w:rPr>
        <w:t>推进</w:t>
      </w:r>
      <w:r>
        <w:rPr>
          <w:rFonts w:hint="default" w:ascii="Times New Roman" w:hAnsi="Times New Roman" w:eastAsia="文星仿宋" w:cs="Times New Roman"/>
          <w:color w:val="0C0C0C"/>
          <w:sz w:val="32"/>
          <w:szCs w:val="32"/>
        </w:rPr>
        <w:t>居家社区机构养老</w:t>
      </w:r>
      <w:r>
        <w:rPr>
          <w:rFonts w:hint="default" w:ascii="Times New Roman" w:hAnsi="Times New Roman" w:eastAsia="文星仿宋" w:cs="Times New Roman"/>
          <w:color w:val="0C0C0C"/>
          <w:sz w:val="32"/>
          <w:szCs w:val="32"/>
          <w:lang w:eastAsia="zh-CN"/>
        </w:rPr>
        <w:t>相协调</w:t>
      </w:r>
      <w:r>
        <w:rPr>
          <w:rFonts w:hint="default" w:ascii="Times New Roman" w:hAnsi="Times New Roman" w:eastAsia="文星仿宋" w:cs="Times New Roman"/>
          <w:color w:val="0C0C0C"/>
          <w:sz w:val="32"/>
          <w:szCs w:val="32"/>
        </w:rPr>
        <w:t>，推动医养康养相结合，加大对基层和农村养老服务的投入，</w:t>
      </w:r>
      <w:r>
        <w:rPr>
          <w:rFonts w:hint="default" w:ascii="Times New Roman" w:hAnsi="Times New Roman" w:eastAsia="文星仿宋" w:cs="Times New Roman"/>
          <w:color w:val="0C0C0C"/>
          <w:sz w:val="32"/>
          <w:szCs w:val="32"/>
          <w:lang w:eastAsia="zh-CN"/>
        </w:rPr>
        <w:t>促进</w:t>
      </w:r>
      <w:r>
        <w:rPr>
          <w:rFonts w:hint="default" w:ascii="Times New Roman" w:hAnsi="Times New Roman" w:eastAsia="文星仿宋" w:cs="Times New Roman"/>
          <w:color w:val="0C0C0C"/>
          <w:sz w:val="32"/>
          <w:szCs w:val="32"/>
        </w:rPr>
        <w:t>城乡基本养老服务均等化</w:t>
      </w:r>
      <w:r>
        <w:rPr>
          <w:rFonts w:hint="default" w:ascii="Times New Roman" w:hAnsi="Times New Roman" w:eastAsia="文星仿宋" w:cs="Times New Roman"/>
          <w:color w:val="0C0C0C"/>
          <w:sz w:val="32"/>
          <w:szCs w:val="32"/>
          <w:lang w:eastAsia="zh-CN"/>
        </w:rPr>
        <w:t>发展</w:t>
      </w:r>
      <w:r>
        <w:rPr>
          <w:rFonts w:hint="default" w:ascii="Times New Roman" w:hAnsi="Times New Roman" w:eastAsia="文星仿宋" w:cs="Times New Roman"/>
          <w:color w:val="0C0C0C"/>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1"/>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b/>
          <w:bCs/>
          <w:color w:val="0C0C0C"/>
          <w:sz w:val="32"/>
          <w:szCs w:val="32"/>
        </w:rPr>
        <w:t>突出重点，高质</w:t>
      </w:r>
      <w:r>
        <w:rPr>
          <w:rFonts w:hint="eastAsia" w:ascii="Times New Roman" w:hAnsi="Times New Roman" w:eastAsia="文星仿宋" w:cs="Times New Roman"/>
          <w:b/>
          <w:bCs/>
          <w:color w:val="0C0C0C"/>
          <w:sz w:val="32"/>
          <w:szCs w:val="32"/>
          <w:lang w:val="en-US" w:eastAsia="zh-CN"/>
        </w:rPr>
        <w:t>量</w:t>
      </w:r>
      <w:r>
        <w:rPr>
          <w:rFonts w:hint="default" w:ascii="Times New Roman" w:hAnsi="Times New Roman" w:eastAsia="文星仿宋" w:cs="Times New Roman"/>
          <w:b/>
          <w:bCs/>
          <w:color w:val="0C0C0C"/>
          <w:sz w:val="32"/>
          <w:szCs w:val="32"/>
        </w:rPr>
        <w:t>发展。</w:t>
      </w:r>
      <w:r>
        <w:rPr>
          <w:rFonts w:hint="default" w:ascii="Times New Roman" w:hAnsi="Times New Roman" w:eastAsia="文星仿宋" w:cs="Times New Roman"/>
          <w:color w:val="0C0C0C"/>
          <w:sz w:val="32"/>
          <w:szCs w:val="32"/>
        </w:rPr>
        <w:t>坚持事业和产业双轮驱动，巩固家庭养老基础地位，补齐社区养老服务设施短板，聚焦机构养老失能照护功能，促进养老服务高质量发展。大力发展银发经济，推进养老服务业标准化、品牌化建设，培育养老新业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b/>
          <w:bCs/>
          <w:color w:val="0C0C0C"/>
          <w:sz w:val="32"/>
          <w:szCs w:val="32"/>
        </w:rPr>
        <w:t>改革创新、激发活力。</w:t>
      </w:r>
      <w:r>
        <w:rPr>
          <w:rFonts w:hint="default" w:ascii="Times New Roman" w:hAnsi="Times New Roman" w:eastAsia="文星仿宋" w:cs="Times New Roman"/>
          <w:color w:val="0C0C0C"/>
          <w:sz w:val="32"/>
          <w:szCs w:val="32"/>
        </w:rPr>
        <w:t>坚持开放与监管双管齐下，落实养老服务扶持政策措施，充分激发各类市场主体活力。推动养老服务政策、供给模式、保障制度、监督管理方式创新</w:t>
      </w:r>
      <w:r>
        <w:rPr>
          <w:rFonts w:hint="default" w:ascii="Times New Roman" w:hAnsi="Times New Roman" w:eastAsia="文星仿宋" w:cs="Times New Roman"/>
          <w:color w:val="0C0C0C"/>
          <w:sz w:val="32"/>
          <w:szCs w:val="32"/>
          <w:lang w:eastAsia="zh-CN"/>
        </w:rPr>
        <w:t>，营造良好的养老服务市场竞争环境。</w:t>
      </w:r>
    </w:p>
    <w:p>
      <w:pPr>
        <w:pStyle w:val="4"/>
        <w:keepNext/>
        <w:keepLines/>
        <w:pageBreakBefore w:val="0"/>
        <w:widowControl w:val="0"/>
        <w:numPr>
          <w:ilvl w:val="0"/>
          <w:numId w:val="1"/>
        </w:numPr>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val="en-US" w:eastAsia="zh-CN"/>
        </w:rPr>
      </w:pPr>
      <w:bookmarkStart w:id="73" w:name="_Toc24781"/>
      <w:bookmarkStart w:id="74" w:name="_Toc26498"/>
      <w:bookmarkStart w:id="75" w:name="_Toc2150"/>
      <w:bookmarkStart w:id="76" w:name="_Toc23381"/>
      <w:bookmarkStart w:id="77" w:name="_Toc12251"/>
      <w:r>
        <w:rPr>
          <w:rFonts w:hint="default" w:ascii="Times New Roman" w:hAnsi="Times New Roman" w:eastAsia="文星楷体" w:cs="Times New Roman"/>
          <w:b w:val="0"/>
          <w:bCs/>
          <w:color w:val="0C0C0C"/>
          <w:sz w:val="32"/>
          <w:szCs w:val="20"/>
          <w:lang w:val="en-US" w:eastAsia="zh-CN"/>
        </w:rPr>
        <w:t>发展目标</w:t>
      </w:r>
      <w:bookmarkEnd w:id="73"/>
      <w:bookmarkEnd w:id="74"/>
      <w:bookmarkEnd w:id="75"/>
      <w:bookmarkEnd w:id="76"/>
      <w:bookmarkEnd w:id="77"/>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文星仿宋" w:cs="Times New Roman"/>
          <w:color w:val="0C0C0C"/>
          <w:kern w:val="2"/>
          <w:sz w:val="32"/>
          <w:szCs w:val="32"/>
          <w:lang w:val="en-US" w:eastAsia="zh-CN" w:bidi="ar-SA"/>
        </w:rPr>
      </w:pPr>
      <w:r>
        <w:rPr>
          <w:rFonts w:hint="default" w:ascii="Times New Roman" w:hAnsi="Times New Roman" w:eastAsia="文星仿宋" w:cs="Times New Roman"/>
          <w:color w:val="0C0C0C"/>
          <w:kern w:val="2"/>
          <w:sz w:val="32"/>
          <w:szCs w:val="32"/>
          <w:lang w:val="en-US" w:eastAsia="zh-CN" w:bidi="ar-SA"/>
        </w:rPr>
        <w:t>“十四五”时期，贯彻落实省、市养老服务体系建设“十四五”规划目标，巩固“十三五”期间我县养老服务体系建设发展成果。紧紧围绕县委、县政府工作大局，基本形成城乡覆盖、功能完善、保障基本、服务多元、监管到位的全方位养老服务工作体系，基本构建兜底供养有保障、普惠养老能满足、中高端市场可选择的多层次养老服务供给体系。社会力量主体作用充分发挥，养老机构床位结构更加合理，居家养老服务能力明显增强，养老服务与森林资源、医疗资源、旅游资源、农业资源的深度融合发展，形成若干个特色突出、优势显著的养老产业基地，老年人及其子女获得感、幸福感、安全感显著提高。</w:t>
      </w:r>
    </w:p>
    <w:p>
      <w:pPr>
        <w:pStyle w:val="2"/>
        <w:rPr>
          <w:rFonts w:hint="default" w:ascii="Times New Roman" w:hAnsi="Times New Roman" w:cs="Times New Roman"/>
          <w:color w:val="0C0C0C"/>
          <w:lang w:eastAsia="zh-CN"/>
        </w:rPr>
      </w:pPr>
    </w:p>
    <w:p>
      <w:pPr>
        <w:pStyle w:val="4"/>
        <w:keepNext w:val="0"/>
        <w:keepLines w:val="0"/>
        <w:pageBreakBefore w:val="0"/>
        <w:widowControl w:val="0"/>
        <w:kinsoku/>
        <w:wordWrap/>
        <w:overflowPunct/>
        <w:topLinePunct w:val="0"/>
        <w:autoSpaceDE/>
        <w:autoSpaceDN/>
        <w:bidi w:val="0"/>
        <w:adjustRightInd/>
        <w:snapToGrid/>
        <w:spacing w:before="922" w:beforeLines="15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78" w:name="_Toc23174"/>
      <w:bookmarkStart w:id="79" w:name="_Toc20691"/>
      <w:bookmarkStart w:id="80" w:name="_Toc28741"/>
      <w:bookmarkStart w:id="81" w:name="_Toc6595"/>
      <w:bookmarkStart w:id="82" w:name="_Toc30706"/>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二</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w:t>
      </w:r>
      <w:r>
        <w:rPr>
          <w:rFonts w:hint="default" w:ascii="Times New Roman" w:hAnsi="Times New Roman" w:eastAsia="文星标宋" w:cs="Times New Roman"/>
          <w:b w:val="0"/>
          <w:bCs/>
          <w:color w:val="0C0C0C"/>
          <w:sz w:val="36"/>
          <w:szCs w:val="21"/>
          <w:lang w:eastAsia="zh-CN"/>
        </w:rPr>
        <w:t>筑牢</w:t>
      </w:r>
      <w:r>
        <w:rPr>
          <w:rFonts w:hint="default" w:ascii="Times New Roman" w:hAnsi="Times New Roman" w:eastAsia="文星标宋" w:cs="Times New Roman"/>
          <w:b w:val="0"/>
          <w:bCs/>
          <w:color w:val="0C0C0C"/>
          <w:sz w:val="36"/>
          <w:szCs w:val="21"/>
        </w:rPr>
        <w:t>兜底性普惠性养老服务供给</w:t>
      </w:r>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lang w:val="en-US" w:eastAsia="zh-CN"/>
        </w:rPr>
      </w:pPr>
      <w:bookmarkStart w:id="83" w:name="_Toc23042"/>
      <w:bookmarkStart w:id="84" w:name="_Toc8032"/>
      <w:bookmarkStart w:id="85" w:name="_Toc32041"/>
      <w:bookmarkStart w:id="86" w:name="_Toc22801"/>
      <w:bookmarkStart w:id="87" w:name="_Toc3854"/>
      <w:bookmarkStart w:id="88" w:name="_Toc23948"/>
      <w:bookmarkStart w:id="89" w:name="_Toc8403"/>
      <w:bookmarkStart w:id="90" w:name="_Toc24351"/>
      <w:bookmarkStart w:id="91" w:name="_Toc22380"/>
      <w:r>
        <w:rPr>
          <w:rFonts w:hint="default" w:ascii="Times New Roman" w:hAnsi="Times New Roman" w:eastAsia="文星仿宋" w:cs="Times New Roman"/>
          <w:color w:val="0C0C0C"/>
          <w:sz w:val="32"/>
          <w:szCs w:val="32"/>
          <w:lang w:val="en-US" w:eastAsia="zh-CN"/>
        </w:rPr>
        <w:t>党的十九届五中全会提出健全基本养老服务体系。集中全力做好养老服务领域普惠性、基础性、兜底性民生建设，统筹城乡区域协调发展，筑牢兜底性养老服务底线，保障普惠性养老服务供给。</w:t>
      </w:r>
    </w:p>
    <w:p>
      <w:pPr>
        <w:pStyle w:val="4"/>
        <w:keepNext/>
        <w:keepLines/>
        <w:pageBreakBefore w:val="0"/>
        <w:widowControl w:val="0"/>
        <w:numPr>
          <w:ilvl w:val="0"/>
          <w:numId w:val="0"/>
        </w:numPr>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92" w:name="_Toc1183"/>
      <w:bookmarkStart w:id="93" w:name="_Toc16225"/>
      <w:bookmarkStart w:id="94" w:name="_Toc31750"/>
      <w:bookmarkStart w:id="95" w:name="_Toc17370"/>
      <w:bookmarkStart w:id="96" w:name="_Toc13074"/>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建立基本养老服务制度</w:t>
      </w:r>
      <w:bookmarkEnd w:id="92"/>
      <w:bookmarkEnd w:id="93"/>
      <w:bookmarkEnd w:id="94"/>
      <w:bookmarkEnd w:id="95"/>
      <w:bookmarkEnd w:id="96"/>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完善特困老年人兜底供养制度</w:t>
      </w:r>
      <w:r>
        <w:rPr>
          <w:rFonts w:hint="default" w:ascii="Times New Roman" w:hAnsi="Times New Roman" w:eastAsia="文星仿宋" w:cs="Times New Roman"/>
          <w:color w:val="0C0C0C"/>
          <w:sz w:val="32"/>
          <w:szCs w:val="32"/>
        </w:rPr>
        <w:t>。全面落实和完善高龄补（津）贴及经济困难的高龄、失能等老年人补贴制度，推动与残疾人两项补贴、社会救助等政策进一步衔接</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形成基本养老服务补贴制度，重点保障好经济困难的高龄、失能等老年人的长期照护需求</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强化政府兜底保障职能，发挥特困人员救助供养制度作用，为特困老年人提供基本</w:t>
      </w:r>
      <w:r>
        <w:rPr>
          <w:rFonts w:hint="default" w:ascii="Times New Roman" w:hAnsi="Times New Roman" w:eastAsia="文星仿宋" w:cs="Times New Roman"/>
          <w:color w:val="0C0C0C"/>
          <w:sz w:val="32"/>
          <w:szCs w:val="32"/>
          <w:lang w:eastAsia="zh-CN"/>
        </w:rPr>
        <w:t>生活</w:t>
      </w:r>
      <w:r>
        <w:rPr>
          <w:rFonts w:hint="default" w:ascii="Times New Roman" w:hAnsi="Times New Roman" w:eastAsia="文星仿宋" w:cs="Times New Roman"/>
          <w:color w:val="0C0C0C"/>
          <w:sz w:val="32"/>
          <w:szCs w:val="32"/>
        </w:rPr>
        <w:t>、照料服务、疾病治疗和殡葬</w:t>
      </w:r>
      <w:r>
        <w:rPr>
          <w:rFonts w:hint="default" w:ascii="Times New Roman" w:hAnsi="Times New Roman" w:eastAsia="文星仿宋" w:cs="Times New Roman"/>
          <w:color w:val="0C0C0C"/>
          <w:sz w:val="32"/>
          <w:szCs w:val="32"/>
          <w:lang w:eastAsia="zh-CN"/>
        </w:rPr>
        <w:t>服务</w:t>
      </w:r>
      <w:r>
        <w:rPr>
          <w:rFonts w:hint="default" w:ascii="Times New Roman" w:hAnsi="Times New Roman" w:eastAsia="文星仿宋" w:cs="Times New Roman"/>
          <w:color w:val="0C0C0C"/>
          <w:sz w:val="32"/>
          <w:szCs w:val="32"/>
        </w:rPr>
        <w:t>等方面的兜底供养服务。开展特困老年人集中供养需求摸底调查</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合理制定特困老年人集中供养服务计划，优先满足生活不能自理特困老年人的集中供养需求，确保有集中供养意愿的特困老年人全部实现集中供养。完善分散供养特困人员照护制度，确保分散供养特困老年人享受到高质量的照护服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建立基本养老服务清单制度。</w:t>
      </w:r>
      <w:r>
        <w:rPr>
          <w:rFonts w:hint="default" w:ascii="Times New Roman" w:hAnsi="Times New Roman" w:eastAsia="文星仿宋" w:cs="Times New Roman"/>
          <w:color w:val="0C0C0C"/>
          <w:sz w:val="32"/>
          <w:szCs w:val="32"/>
        </w:rPr>
        <w:t>推动基本养老服务清单内容纳入基本公共服务范畴，将购买基本养老服务纳入政府向社会力量购买服务指导性目录。在满足特困老年人兜底供养的基础上，优先保障经济困难的失能、高龄老年人以及计划生育特殊家庭老年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空巢（独居）留守老年人及</w:t>
      </w:r>
      <w:r>
        <w:rPr>
          <w:rFonts w:hint="default" w:ascii="Times New Roman" w:hAnsi="Times New Roman" w:eastAsia="文星仿宋" w:cs="Times New Roman"/>
          <w:color w:val="0C0C0C"/>
          <w:sz w:val="32"/>
          <w:szCs w:val="32"/>
          <w:lang w:eastAsia="zh-CN"/>
        </w:rPr>
        <w:t>重点优抚对象中</w:t>
      </w:r>
      <w:r>
        <w:rPr>
          <w:rFonts w:hint="default" w:ascii="Times New Roman" w:hAnsi="Times New Roman" w:eastAsia="文星仿宋" w:cs="Times New Roman"/>
          <w:color w:val="0C0C0C"/>
          <w:sz w:val="32"/>
          <w:szCs w:val="32"/>
        </w:rPr>
        <w:t>的老年人等重点人群的基本养老服务需求。</w:t>
      </w:r>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健全养老服务评估制度。</w:t>
      </w:r>
      <w:r>
        <w:rPr>
          <w:rFonts w:hint="default" w:ascii="Times New Roman" w:hAnsi="Times New Roman" w:eastAsia="文星仿宋" w:cs="Times New Roman"/>
          <w:color w:val="0C0C0C"/>
          <w:sz w:val="32"/>
          <w:szCs w:val="32"/>
        </w:rPr>
        <w:t>推动建设一批综合评估机构和评估队伍，通过政府购买服务等方式开展老年人</w:t>
      </w:r>
      <w:r>
        <w:rPr>
          <w:rFonts w:hint="default" w:ascii="Times New Roman" w:hAnsi="Times New Roman" w:eastAsia="文星仿宋" w:cs="Times New Roman"/>
          <w:color w:val="0C0C0C"/>
          <w:sz w:val="32"/>
          <w:szCs w:val="32"/>
          <w:lang w:eastAsia="zh-CN"/>
        </w:rPr>
        <w:t>综合</w:t>
      </w:r>
      <w:r>
        <w:rPr>
          <w:rFonts w:hint="default" w:ascii="Times New Roman" w:hAnsi="Times New Roman" w:eastAsia="文星仿宋" w:cs="Times New Roman"/>
          <w:color w:val="0C0C0C"/>
          <w:sz w:val="32"/>
          <w:szCs w:val="32"/>
        </w:rPr>
        <w:t>能力评估，评估结果作为领取老年人补贴、接受基本养老服务的依据。</w:t>
      </w:r>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逐步建立多层次长期照护保障制度。</w:t>
      </w:r>
      <w:r>
        <w:rPr>
          <w:rFonts w:hint="default" w:ascii="Times New Roman" w:hAnsi="Times New Roman" w:eastAsia="文星仿宋" w:cs="Times New Roman"/>
          <w:color w:val="0C0C0C"/>
          <w:sz w:val="32"/>
          <w:szCs w:val="32"/>
        </w:rPr>
        <w:t>推动长期照护保障制度建设，逐步健全长期护理保险、社会救助、社会福利、慈善事业、商业保险相衔接的多层次长期照护保障体系，逐步建立从居家</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社区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机构相衔接的多层次长期照护服务体系</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不断满足失能老年人长期照护刚性需求。</w:t>
      </w:r>
    </w:p>
    <w:p>
      <w:pPr>
        <w:pStyle w:val="4"/>
        <w:keepNext/>
        <w:keepLines/>
        <w:pageBreakBefore w:val="0"/>
        <w:widowControl w:val="0"/>
        <w:numPr>
          <w:ilvl w:val="0"/>
          <w:numId w:val="0"/>
        </w:numPr>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97" w:name="_Toc22388"/>
      <w:bookmarkStart w:id="98" w:name="_Toc4501"/>
      <w:bookmarkStart w:id="99" w:name="_Toc9168"/>
      <w:bookmarkStart w:id="100" w:name="_Toc23409"/>
      <w:bookmarkStart w:id="101" w:name="_Toc28604"/>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推进</w:t>
      </w:r>
      <w:r>
        <w:rPr>
          <w:rFonts w:hint="default" w:ascii="Times New Roman" w:hAnsi="Times New Roman" w:eastAsia="文星楷体" w:cs="Times New Roman"/>
          <w:b w:val="0"/>
          <w:bCs/>
          <w:color w:val="0C0C0C"/>
          <w:sz w:val="32"/>
          <w:szCs w:val="20"/>
          <w:lang w:eastAsia="zh-CN"/>
        </w:rPr>
        <w:t>公办养老机构提质增效</w:t>
      </w:r>
      <w:bookmarkEnd w:id="97"/>
      <w:bookmarkEnd w:id="98"/>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强化兜底保障能力</w:t>
      </w:r>
      <w:r>
        <w:rPr>
          <w:rFonts w:hint="default" w:ascii="Times New Roman" w:hAnsi="Times New Roman" w:eastAsia="文星仿宋" w:cs="Times New Roman"/>
          <w:color w:val="0C0C0C"/>
          <w:sz w:val="32"/>
          <w:szCs w:val="32"/>
        </w:rPr>
        <w:t>。始终坚持公办养老机构（含承包经营、委托运营、联合经营等模式）兜底保障核心功能，充分发挥公办养老机构兜底、</w:t>
      </w:r>
      <w:r>
        <w:rPr>
          <w:rFonts w:hint="default" w:ascii="Times New Roman" w:hAnsi="Times New Roman" w:eastAsia="文星仿宋" w:cs="Times New Roman"/>
          <w:color w:val="0C0C0C"/>
          <w:sz w:val="32"/>
          <w:szCs w:val="32"/>
          <w:lang w:eastAsia="zh-CN"/>
        </w:rPr>
        <w:t>保基本</w:t>
      </w:r>
      <w:r>
        <w:rPr>
          <w:rFonts w:hint="default" w:ascii="Times New Roman" w:hAnsi="Times New Roman" w:eastAsia="文星仿宋" w:cs="Times New Roman"/>
          <w:color w:val="0C0C0C"/>
          <w:sz w:val="32"/>
          <w:szCs w:val="32"/>
        </w:rPr>
        <w:t>和示范作用，不断强化兜底保障服务能力。</w:t>
      </w:r>
      <w:r>
        <w:rPr>
          <w:rFonts w:hint="default" w:ascii="Times New Roman" w:hAnsi="Times New Roman" w:eastAsia="文星仿宋" w:cs="Times New Roman"/>
          <w:color w:val="0C0C0C"/>
          <w:sz w:val="32"/>
          <w:szCs w:val="32"/>
          <w:lang w:val="en-US" w:eastAsia="zh-CN"/>
        </w:rPr>
        <w:t>加快县社会福利中心建设，将政府回购的原皓鸿公司改造成福利中心。加快推进我县养老中心项目建设，满足不同层次老年人需求。</w:t>
      </w:r>
      <w:r>
        <w:rPr>
          <w:rFonts w:hint="default" w:ascii="Times New Roman" w:hAnsi="Times New Roman" w:eastAsia="文星仿宋" w:cs="Times New Roman"/>
          <w:color w:val="0C0C0C"/>
          <w:sz w:val="32"/>
          <w:szCs w:val="32"/>
          <w:highlight w:val="none"/>
          <w:lang w:val="en-US" w:eastAsia="zh-CN"/>
        </w:rPr>
        <w:t>规范养老机构管理，实行养老机构备案管理</w:t>
      </w:r>
      <w:r>
        <w:rPr>
          <w:rFonts w:hint="eastAsia" w:ascii="Times New Roman" w:hAnsi="Times New Roman" w:eastAsia="文星仿宋" w:cs="Times New Roman"/>
          <w:color w:val="0C0C0C"/>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提升长期照护能力</w:t>
      </w:r>
      <w:r>
        <w:rPr>
          <w:rFonts w:hint="default" w:ascii="Times New Roman" w:hAnsi="Times New Roman" w:eastAsia="文星仿宋" w:cs="Times New Roman"/>
          <w:color w:val="0C0C0C"/>
          <w:sz w:val="32"/>
          <w:szCs w:val="32"/>
        </w:rPr>
        <w:t>。推进公办养老机构长期照护服务能力建设，加大服务设施升级改造，提高护理型床位设施比例，增设失能老年人护理专区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全面提升康复护理服务水平。推进区域性照护服务机构建设，增设护理型床位匹配供给，重点支持建设以失能老年人专业照护服务为主的公办养老机构，推动在县级层面实现失能特困老年人专业照护服务全覆盖。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优化拓展服务功能</w:t>
      </w:r>
      <w:r>
        <w:rPr>
          <w:rFonts w:hint="default" w:ascii="Times New Roman" w:hAnsi="Times New Roman" w:eastAsia="文星仿宋" w:cs="Times New Roman"/>
          <w:color w:val="0C0C0C"/>
          <w:sz w:val="32"/>
          <w:szCs w:val="32"/>
        </w:rPr>
        <w:t>。支持引导养老机构发挥专业资源优势，辐射周边提供社区养老服务和居家上门服务。鼓励利用闲置办公用房、学校等资源，改（扩）建一批区域性养老服务中心，培育一批以照护为主、辐射周边、支持上门的</w:t>
      </w:r>
      <w:r>
        <w:rPr>
          <w:rFonts w:hint="default" w:ascii="Times New Roman" w:hAnsi="Times New Roman" w:eastAsia="文星仿宋" w:cs="Times New Roman"/>
          <w:color w:val="0C0C0C"/>
          <w:sz w:val="32"/>
          <w:szCs w:val="32"/>
          <w:lang w:eastAsia="zh-CN"/>
        </w:rPr>
        <w:t>养老服务</w:t>
      </w:r>
      <w:r>
        <w:rPr>
          <w:rFonts w:hint="default" w:ascii="Times New Roman" w:hAnsi="Times New Roman" w:eastAsia="文星仿宋" w:cs="Times New Roman"/>
          <w:color w:val="0C0C0C"/>
          <w:sz w:val="32"/>
          <w:szCs w:val="32"/>
        </w:rPr>
        <w:t>机构，面向社会提供普惠适用的养老服务。</w:t>
      </w:r>
      <w:r>
        <w:rPr>
          <w:rFonts w:hint="default" w:ascii="Times New Roman" w:hAnsi="Times New Roman" w:eastAsia="文星仿宋" w:cs="Times New Roman"/>
          <w:color w:val="0C0C0C"/>
          <w:sz w:val="32"/>
          <w:szCs w:val="32"/>
          <w:lang w:eastAsia="zh-CN"/>
        </w:rPr>
        <w:t>鼓励</w:t>
      </w:r>
      <w:r>
        <w:rPr>
          <w:rFonts w:hint="default" w:ascii="Times New Roman" w:hAnsi="Times New Roman" w:eastAsia="文星仿宋" w:cs="Times New Roman"/>
          <w:color w:val="0C0C0C"/>
          <w:sz w:val="32"/>
          <w:szCs w:val="32"/>
        </w:rPr>
        <w:t>有条件的乡镇敬老院满足特困人员集中供养基础上</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拓展</w:t>
      </w:r>
      <w:r>
        <w:rPr>
          <w:rFonts w:hint="default" w:ascii="Times New Roman" w:hAnsi="Times New Roman" w:eastAsia="文星仿宋" w:cs="Times New Roman"/>
          <w:color w:val="0C0C0C"/>
          <w:sz w:val="32"/>
          <w:szCs w:val="32"/>
          <w:lang w:eastAsia="zh-CN"/>
        </w:rPr>
        <w:t>为具有</w:t>
      </w:r>
      <w:r>
        <w:rPr>
          <w:rFonts w:hint="default" w:ascii="Times New Roman" w:hAnsi="Times New Roman" w:eastAsia="文星仿宋" w:cs="Times New Roman"/>
          <w:color w:val="0C0C0C"/>
          <w:sz w:val="32"/>
          <w:szCs w:val="32"/>
        </w:rPr>
        <w:t>区域性、指导性和支持性等综合功能</w:t>
      </w:r>
      <w:r>
        <w:rPr>
          <w:rFonts w:hint="default" w:ascii="Times New Roman" w:hAnsi="Times New Roman" w:eastAsia="文星仿宋" w:cs="Times New Roman"/>
          <w:color w:val="0C0C0C"/>
          <w:sz w:val="32"/>
          <w:szCs w:val="32"/>
          <w:lang w:eastAsia="zh-CN"/>
        </w:rPr>
        <w:t>的农村养老机构，将服务范围延伸至村级居家养老服务站和居家老年人，并逐步为农村低保、低收入家庭中的老年人低偿提供集中托养服务</w:t>
      </w:r>
      <w:r>
        <w:rPr>
          <w:rFonts w:hint="default" w:ascii="Times New Roman" w:hAnsi="Times New Roman" w:eastAsia="文星仿宋" w:cs="Times New Roman"/>
          <w:color w:val="0C0C0C"/>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480"/>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全面提升服务质量</w:t>
      </w:r>
      <w:r>
        <w:rPr>
          <w:rFonts w:hint="default" w:ascii="Times New Roman" w:hAnsi="Times New Roman" w:eastAsia="文星仿宋" w:cs="Times New Roman"/>
          <w:color w:val="0C0C0C"/>
          <w:sz w:val="32"/>
          <w:szCs w:val="32"/>
        </w:rPr>
        <w:t>。强化机构养老服务质量和安全保障，以满足特困人员集中供养服务需求为导向，实施特困人员供养服务设施改造提升工程，落实法人登记和人员配备、整合优化资源、消除安全隐患、提升服务质量，优先满足生活不能自理特困人员专业照护需求。以消防安全达到国家工程建设消防技术标准为目标，实施养老机构消防安全达标工程，落实消防安全管理要求，健全消防安全管理制度，提高养老机构火灾隐患防范处置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文星仿宋" w:cs="Times New Roman"/>
          <w:color w:val="0C0C0C"/>
          <w:sz w:val="32"/>
          <w:szCs w:val="32"/>
          <w:lang w:eastAsia="zh-CN"/>
        </w:rPr>
      </w:pPr>
      <w:r>
        <w:rPr>
          <w:rFonts w:hint="default" w:ascii="Times New Roman" w:hAnsi="Times New Roman" w:eastAsia="文星仿宋" w:cs="Times New Roman"/>
          <w:b/>
          <w:bCs/>
          <w:color w:val="0C0C0C"/>
          <w:sz w:val="32"/>
          <w:szCs w:val="32"/>
        </w:rPr>
        <w:t>深化公办养老机构改革</w:t>
      </w:r>
      <w:r>
        <w:rPr>
          <w:rFonts w:hint="default" w:ascii="Times New Roman" w:hAnsi="Times New Roman" w:eastAsia="文星仿宋" w:cs="Times New Roman"/>
          <w:color w:val="0C0C0C"/>
          <w:sz w:val="32"/>
          <w:szCs w:val="32"/>
        </w:rPr>
        <w:t>。坚持公办养老机构公益属性，循序渐进、因地制宜、持续健康推进公办养老机构改革</w:t>
      </w:r>
      <w:r>
        <w:rPr>
          <w:rFonts w:hint="default" w:ascii="Times New Roman" w:hAnsi="Times New Roman" w:eastAsia="文星仿宋" w:cs="Times New Roman"/>
          <w:color w:val="0C0C0C"/>
          <w:sz w:val="32"/>
          <w:szCs w:val="32"/>
          <w:lang w:eastAsia="zh-CN"/>
        </w:rPr>
        <w:t>。通过直接建设、</w:t>
      </w:r>
      <w:r>
        <w:rPr>
          <w:rFonts w:hint="default" w:ascii="Times New Roman" w:hAnsi="Times New Roman" w:eastAsia="文星仿宋" w:cs="Times New Roman"/>
          <w:color w:val="0C0C0C"/>
          <w:sz w:val="32"/>
          <w:szCs w:val="32"/>
        </w:rPr>
        <w:t>委托经营、购买服务、鼓励社会投资等多种方式发展机构养老</w:t>
      </w:r>
      <w:r>
        <w:rPr>
          <w:rFonts w:hint="default" w:ascii="Times New Roman" w:hAnsi="Times New Roman" w:eastAsia="文星仿宋" w:cs="Times New Roman"/>
          <w:color w:val="0C0C0C"/>
          <w:sz w:val="32"/>
          <w:szCs w:val="32"/>
          <w:lang w:eastAsia="zh-CN"/>
        </w:rPr>
        <w:t>。或探索改制为国有养老服务企业等模式，在充分发挥兜底保障作用的基础上，面向社会提供普惠适用的养老服务。</w:t>
      </w:r>
      <w:r>
        <w:rPr>
          <w:rFonts w:hint="default" w:ascii="Times New Roman" w:hAnsi="Times New Roman" w:eastAsia="文星仿宋" w:cs="Times New Roman"/>
          <w:sz w:val="32"/>
          <w:szCs w:val="32"/>
        </w:rPr>
        <w:t>依据国家养老机构等级划分与评定等标准，到2025年底，力争评定为一级至二级服务等级的乡镇级公办养老机构（敬老院）、评定为二级至三级服务等级的县级公办养老机构建有率均达到80%以上</w:t>
      </w:r>
      <w:r>
        <w:rPr>
          <w:rFonts w:hint="eastAsia" w:ascii="Times New Roman" w:hAnsi="Times New Roman" w:eastAsia="文星仿宋" w:cs="Times New Roman"/>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C0C0C"/>
          <w:lang w:eastAsia="zh-CN"/>
        </w:rPr>
      </w:pPr>
    </w:p>
    <w:tbl>
      <w:tblPr>
        <w:tblStyle w:val="9"/>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3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文星黑体" w:cs="Times New Roman"/>
                <w:b w:val="0"/>
                <w:bCs w:val="0"/>
                <w:color w:val="0C0C0C"/>
                <w:sz w:val="32"/>
                <w:szCs w:val="32"/>
              </w:rPr>
            </w:pPr>
            <w:r>
              <w:rPr>
                <w:rFonts w:hint="default" w:ascii="Times New Roman" w:hAnsi="Times New Roman" w:eastAsia="文星黑体" w:cs="Times New Roman"/>
                <w:b w:val="0"/>
                <w:bCs w:val="0"/>
                <w:color w:val="0C0C0C"/>
                <w:sz w:val="32"/>
                <w:szCs w:val="32"/>
              </w:rPr>
              <w:t>专栏</w:t>
            </w:r>
            <w:r>
              <w:rPr>
                <w:rFonts w:hint="default" w:ascii="Times New Roman" w:hAnsi="Times New Roman" w:eastAsia="文星黑体" w:cs="Times New Roman"/>
                <w:b w:val="0"/>
                <w:bCs w:val="0"/>
                <w:color w:val="0C0C0C"/>
                <w:sz w:val="32"/>
                <w:szCs w:val="32"/>
                <w:lang w:val="en-US" w:eastAsia="zh-CN"/>
              </w:rPr>
              <w:t>1：</w:t>
            </w:r>
            <w:r>
              <w:rPr>
                <w:rFonts w:hint="default" w:ascii="Times New Roman" w:hAnsi="Times New Roman" w:eastAsia="文星黑体" w:cs="Times New Roman"/>
                <w:b w:val="0"/>
                <w:bCs w:val="0"/>
                <w:color w:val="0C0C0C"/>
                <w:sz w:val="32"/>
                <w:szCs w:val="32"/>
              </w:rPr>
              <w:t>特困人员供养服务设施改造提升工程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numPr>
                <w:ilvl w:val="0"/>
                <w:numId w:val="2"/>
              </w:numPr>
              <w:tabs>
                <w:tab w:val="left" w:pos="312"/>
              </w:tabs>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重点针对特困人员供养服务设施的设施条件、设备配置、服务功能、人员配备和安全管理等方面进行改造提升</w:t>
            </w:r>
            <w:r>
              <w:rPr>
                <w:rFonts w:hint="default" w:ascii="Times New Roman" w:hAnsi="Times New Roman" w:eastAsia="文星仿宋" w:cs="Times New Roman"/>
                <w:color w:val="0C0C0C"/>
                <w:sz w:val="28"/>
                <w:szCs w:val="36"/>
                <w:lang w:eastAsia="zh-CN"/>
              </w:rPr>
              <w:t>，增设失能人员生活服务及医疗护理、康复服务等照护单元，强化长期照护服务功能</w:t>
            </w:r>
            <w:r>
              <w:rPr>
                <w:rFonts w:hint="default" w:ascii="Times New Roman" w:hAnsi="Times New Roman" w:eastAsia="文星仿宋" w:cs="Times New Roman"/>
                <w:color w:val="0C0C0C"/>
                <w:sz w:val="28"/>
                <w:szCs w:val="36"/>
              </w:rPr>
              <w:t>。</w:t>
            </w:r>
          </w:p>
          <w:p>
            <w:pPr>
              <w:pStyle w:val="7"/>
              <w:keepNext w:val="0"/>
              <w:keepLines w:val="0"/>
              <w:pageBreakBefore w:val="0"/>
              <w:widowControl/>
              <w:numPr>
                <w:ilvl w:val="0"/>
                <w:numId w:val="2"/>
              </w:numPr>
              <w:tabs>
                <w:tab w:val="left" w:pos="312"/>
              </w:tabs>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落实安全管理主体责任，完善安全管理制度，加强对特困人员供养服务设施的消防安全、食品安全、运营秩序、资金使用等方面监管，全面排查及时消除各类安全风险隐患，健全完善防范、化解和处置风险隐患长效机制。</w:t>
            </w:r>
          </w:p>
          <w:p>
            <w:pPr>
              <w:pStyle w:val="7"/>
              <w:keepNext w:val="0"/>
              <w:keepLines w:val="0"/>
              <w:pageBreakBefore w:val="0"/>
              <w:widowControl/>
              <w:numPr>
                <w:ilvl w:val="0"/>
                <w:numId w:val="2"/>
              </w:numPr>
              <w:tabs>
                <w:tab w:val="left" w:pos="312"/>
              </w:tabs>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对偏、远、小的特困人员供养服务设施，采取关、停、并、转等多种方式进行资源整合、优化布局；对环境设施、地理位置较好的特困人员供养服务设施进行改造升级、强化功能</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拓展延伸</w:t>
            </w:r>
            <w:r>
              <w:rPr>
                <w:rFonts w:hint="default" w:ascii="Times New Roman" w:hAnsi="Times New Roman" w:eastAsia="文星仿宋" w:cs="Times New Roman"/>
                <w:color w:val="0C0C0C"/>
                <w:sz w:val="28"/>
                <w:szCs w:val="36"/>
                <w:lang w:eastAsia="zh-CN"/>
              </w:rPr>
              <w:t>全日托养</w:t>
            </w:r>
            <w:r>
              <w:rPr>
                <w:rFonts w:hint="default" w:ascii="Times New Roman" w:hAnsi="Times New Roman" w:eastAsia="文星仿宋" w:cs="Times New Roman"/>
                <w:color w:val="0C0C0C"/>
                <w:sz w:val="28"/>
                <w:szCs w:val="36"/>
              </w:rPr>
              <w:t>、</w:t>
            </w:r>
            <w:r>
              <w:rPr>
                <w:rFonts w:hint="default" w:ascii="Times New Roman" w:hAnsi="Times New Roman" w:eastAsia="文星仿宋" w:cs="Times New Roman"/>
                <w:color w:val="0C0C0C"/>
                <w:sz w:val="28"/>
                <w:szCs w:val="36"/>
                <w:lang w:eastAsia="zh-CN"/>
              </w:rPr>
              <w:t>日间照料</w:t>
            </w:r>
            <w:r>
              <w:rPr>
                <w:rFonts w:hint="default" w:ascii="Times New Roman" w:hAnsi="Times New Roman" w:eastAsia="文星仿宋" w:cs="Times New Roman"/>
                <w:color w:val="0C0C0C"/>
                <w:sz w:val="28"/>
                <w:szCs w:val="36"/>
              </w:rPr>
              <w:t>、上门服务</w:t>
            </w:r>
            <w:r>
              <w:rPr>
                <w:rFonts w:hint="default" w:ascii="Times New Roman" w:hAnsi="Times New Roman" w:eastAsia="文星仿宋" w:cs="Times New Roman"/>
                <w:color w:val="0C0C0C"/>
                <w:sz w:val="28"/>
                <w:szCs w:val="36"/>
                <w:lang w:eastAsia="zh-CN"/>
              </w:rPr>
              <w:t>、协调指导</w:t>
            </w:r>
            <w:r>
              <w:rPr>
                <w:rFonts w:hint="default" w:ascii="Times New Roman" w:hAnsi="Times New Roman" w:eastAsia="文星仿宋" w:cs="Times New Roman"/>
                <w:color w:val="0C0C0C"/>
                <w:sz w:val="28"/>
                <w:szCs w:val="36"/>
              </w:rPr>
              <w:t>等区域性综合服务功能。</w:t>
            </w:r>
          </w:p>
        </w:tc>
      </w:tr>
    </w:tbl>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616" w:beforeLines="10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02" w:name="_Toc9362"/>
      <w:bookmarkStart w:id="103" w:name="_Toc29922"/>
      <w:bookmarkStart w:id="104" w:name="_Toc22557"/>
      <w:bookmarkStart w:id="105" w:name="_Toc8514"/>
      <w:bookmarkStart w:id="106" w:name="_Toc16661"/>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促进居家社区养老服务扩面</w:t>
      </w:r>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在城市辖区发展“社区-小区-家庭”</w:t>
      </w:r>
      <w:r>
        <w:rPr>
          <w:rFonts w:hint="eastAsia" w:ascii="Times New Roman" w:hAnsi="Times New Roman" w:eastAsia="文星仿宋" w:cs="Times New Roman"/>
          <w:b/>
          <w:bCs/>
          <w:color w:val="0C0C0C"/>
          <w:sz w:val="32"/>
          <w:szCs w:val="32"/>
          <w:lang w:val="en-US" w:eastAsia="zh-CN"/>
        </w:rPr>
        <w:t>三</w:t>
      </w:r>
      <w:r>
        <w:rPr>
          <w:rFonts w:hint="default" w:ascii="Times New Roman" w:hAnsi="Times New Roman" w:eastAsia="文星仿宋" w:cs="Times New Roman"/>
          <w:b/>
          <w:bCs/>
          <w:color w:val="0C0C0C"/>
          <w:sz w:val="32"/>
          <w:szCs w:val="32"/>
        </w:rPr>
        <w:t>级服务网络。</w:t>
      </w:r>
      <w:r>
        <w:rPr>
          <w:rFonts w:hint="default" w:ascii="Times New Roman" w:hAnsi="Times New Roman" w:eastAsia="文星仿宋" w:cs="Times New Roman"/>
          <w:color w:val="0C0C0C"/>
          <w:sz w:val="32"/>
          <w:szCs w:val="32"/>
        </w:rPr>
        <w:t>在社区推进</w:t>
      </w:r>
      <w:r>
        <w:rPr>
          <w:rFonts w:hint="default" w:ascii="Times New Roman" w:hAnsi="Times New Roman" w:eastAsia="文星仿宋" w:cs="Times New Roman"/>
          <w:color w:val="0C0C0C"/>
          <w:sz w:val="32"/>
          <w:szCs w:val="32"/>
          <w:lang w:eastAsia="zh-CN"/>
        </w:rPr>
        <w:t>居家</w:t>
      </w:r>
      <w:r>
        <w:rPr>
          <w:rFonts w:hint="default" w:ascii="Times New Roman" w:hAnsi="Times New Roman" w:eastAsia="文星仿宋" w:cs="Times New Roman"/>
          <w:color w:val="0C0C0C"/>
          <w:sz w:val="32"/>
          <w:szCs w:val="32"/>
        </w:rPr>
        <w:t>养老服务站建设，为社区老年人提供日间照料、膳食供应、护理保健、精神慰藉、辅具配置、居家上门等</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一站式</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养老服务。在有需求和有条件的住宅小区（片区），可延伸居家养老服务点，充分发挥社区党组织的作用</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探索“物业+养老服务”等模式，为居家养老提供上门服务支持。在家庭探索家庭养老床位建设，通过家庭适老化改造和智能化升级，依托养老服务机构上门为居家老年人提供专业照护服务。依托辖内养老机构专业服务资源的支撑作用，逐步形成衔接有序、功能互补的城市社区养老服务网络</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为老年人提供便捷可及、优质高效的居家社区养老服务。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在农村地区建设“县-镇-村”三级服务网络。</w:t>
      </w:r>
      <w:r>
        <w:rPr>
          <w:rFonts w:hint="default" w:ascii="Times New Roman" w:hAnsi="Times New Roman" w:eastAsia="文星仿宋" w:cs="Times New Roman"/>
          <w:color w:val="0C0C0C"/>
          <w:sz w:val="32"/>
          <w:szCs w:val="32"/>
        </w:rPr>
        <w:t>以促进城乡基本养老服务均等化为着力点，推动将农村养老服务设施建设作为乡村振兴战略重要内容，主动融入以人为核心的新型城镇化进程。在县一级建设以失能特困人员集中照护为主的供养服务设施，着力增强失能特困老年人专业照护保障能力；在乡镇一级以敬老院转型升级为主，建设具备全日托养、日间照料、上门服务、协调指导等综合服务功能</w:t>
      </w:r>
      <w:r>
        <w:rPr>
          <w:rFonts w:hint="default" w:ascii="Times New Roman" w:hAnsi="Times New Roman" w:eastAsia="文星仿宋" w:cs="Times New Roman"/>
          <w:color w:val="0C0C0C"/>
          <w:sz w:val="32"/>
          <w:szCs w:val="32"/>
          <w:lang w:eastAsia="zh-CN"/>
        </w:rPr>
        <w:t>机构（</w:t>
      </w:r>
      <w:r>
        <w:rPr>
          <w:rFonts w:hint="default" w:ascii="Times New Roman" w:hAnsi="Times New Roman" w:eastAsia="文星仿宋" w:cs="Times New Roman"/>
          <w:color w:val="0C0C0C"/>
          <w:sz w:val="32"/>
          <w:szCs w:val="32"/>
        </w:rPr>
        <w:t>中心</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发挥基层党建引领作用，在行政村一级依托农村</w:t>
      </w:r>
      <w:r>
        <w:rPr>
          <w:rFonts w:hint="default" w:ascii="Times New Roman" w:hAnsi="Times New Roman" w:eastAsia="文星仿宋" w:cs="Times New Roman"/>
          <w:color w:val="0C0C0C"/>
          <w:sz w:val="32"/>
          <w:szCs w:val="32"/>
          <w:lang w:eastAsia="zh-CN"/>
        </w:rPr>
        <w:t>居家养老服务站</w:t>
      </w:r>
      <w:r>
        <w:rPr>
          <w:rFonts w:hint="default" w:ascii="Times New Roman" w:hAnsi="Times New Roman" w:eastAsia="文星仿宋" w:cs="Times New Roman"/>
          <w:color w:val="0C0C0C"/>
          <w:sz w:val="32"/>
          <w:szCs w:val="32"/>
        </w:rPr>
        <w:t>等养老服务设施打造农村社区养老服务平台，保障农村老年人生活有人管、服务有场所、互助有组织。在家庭承担养老功能和广泛开展互助性养老的基础上，建立健全以村级居家养老服务站点为依托、乡镇敬老院为支撑、县级供养服务设施</w:t>
      </w:r>
      <w:r>
        <w:rPr>
          <w:rFonts w:hint="default" w:ascii="Times New Roman" w:hAnsi="Times New Roman" w:eastAsia="文星仿宋" w:cs="Times New Roman"/>
          <w:color w:val="0C0C0C"/>
          <w:sz w:val="32"/>
          <w:szCs w:val="32"/>
          <w:lang w:eastAsia="zh-CN"/>
        </w:rPr>
        <w:t>兜</w:t>
      </w:r>
      <w:r>
        <w:rPr>
          <w:rFonts w:hint="default" w:ascii="Times New Roman" w:hAnsi="Times New Roman" w:eastAsia="文星仿宋" w:cs="Times New Roman"/>
          <w:color w:val="0C0C0C"/>
          <w:sz w:val="32"/>
          <w:szCs w:val="32"/>
        </w:rPr>
        <w:t>底的农村养老服务网络。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构建社会化“大配餐”服务体系</w:t>
      </w:r>
      <w:r>
        <w:rPr>
          <w:rFonts w:hint="default" w:ascii="Times New Roman" w:hAnsi="Times New Roman" w:eastAsia="文星仿宋" w:cs="Times New Roman"/>
          <w:color w:val="0C0C0C"/>
          <w:sz w:val="32"/>
          <w:szCs w:val="32"/>
        </w:rPr>
        <w:t>。根据老年人口分布情况和服务需求半径合理布局长者饭堂，提高助餐配餐易及性，长者饭堂的建设应根据《社区居家养老服务规范》设置助餐配餐功能区、进行适老化改造，配备消防设备和监控设备。积极开展“长者饭堂”试点，把长者饭堂打造为拓展居家社区养老服务的重要阵地、推进医养结合的重要平台、助力老年人幸福生活的重要抓手。利用现有老人活动中心、医疗服务点、家政中心点等，开展日间照料、家政服务、精神慰藉、医疗保健、文化娱乐等社会老人所盼望的生活服务项目。引入品牌餐饮连锁企业参与助餐配餐服务，依托连锁餐饮企业社区门店设置老年助餐专区或参与老人餐配送。</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C0C0C"/>
        </w:rPr>
      </w:pPr>
    </w:p>
    <w:tbl>
      <w:tblPr>
        <w:tblStyle w:val="9"/>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3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文星黑体" w:cs="Times New Roman"/>
                <w:b w:val="0"/>
                <w:bCs w:val="0"/>
                <w:color w:val="0C0C0C"/>
                <w:sz w:val="32"/>
                <w:szCs w:val="32"/>
              </w:rPr>
            </w:pPr>
            <w:r>
              <w:rPr>
                <w:rFonts w:hint="default" w:ascii="Times New Roman" w:hAnsi="Times New Roman" w:eastAsia="文星黑体" w:cs="Times New Roman"/>
                <w:b w:val="0"/>
                <w:bCs w:val="0"/>
                <w:color w:val="0C0C0C"/>
                <w:sz w:val="32"/>
                <w:szCs w:val="32"/>
              </w:rPr>
              <w:t>专栏</w:t>
            </w:r>
            <w:r>
              <w:rPr>
                <w:rFonts w:hint="default" w:ascii="Times New Roman" w:hAnsi="Times New Roman" w:eastAsia="文星黑体" w:cs="Times New Roman"/>
                <w:b w:val="0"/>
                <w:bCs w:val="0"/>
                <w:color w:val="0C0C0C"/>
                <w:sz w:val="32"/>
                <w:szCs w:val="32"/>
                <w:lang w:val="en-US" w:eastAsia="zh-CN"/>
              </w:rPr>
              <w:t>2</w:t>
            </w:r>
            <w:r>
              <w:rPr>
                <w:rFonts w:hint="default" w:ascii="Times New Roman" w:hAnsi="Times New Roman" w:eastAsia="文星黑体" w:cs="Times New Roman"/>
                <w:b w:val="0"/>
                <w:bCs w:val="0"/>
                <w:color w:val="0C0C0C"/>
                <w:sz w:val="32"/>
                <w:szCs w:val="32"/>
                <w:lang w:eastAsia="zh-CN"/>
              </w:rPr>
              <w:t>：</w:t>
            </w:r>
            <w:r>
              <w:rPr>
                <w:rFonts w:hint="default" w:ascii="Times New Roman" w:hAnsi="Times New Roman" w:eastAsia="文星黑体" w:cs="Times New Roman"/>
                <w:b w:val="0"/>
                <w:bCs w:val="0"/>
                <w:color w:val="0C0C0C"/>
                <w:sz w:val="32"/>
                <w:szCs w:val="32"/>
              </w:rPr>
              <w:t>居家社区养老服务提升工程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numPr>
                <w:ilvl w:val="0"/>
                <w:numId w:val="3"/>
              </w:numPr>
              <w:tabs>
                <w:tab w:val="left"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强化养老服务设施保障，</w:t>
            </w:r>
            <w:r>
              <w:rPr>
                <w:rFonts w:hint="default" w:ascii="Times New Roman" w:hAnsi="Times New Roman" w:eastAsia="文星仿宋" w:cs="Times New Roman"/>
                <w:color w:val="0C0C0C"/>
                <w:sz w:val="28"/>
                <w:szCs w:val="36"/>
                <w:lang w:eastAsia="zh-CN"/>
              </w:rPr>
              <w:t>全县</w:t>
            </w:r>
            <w:r>
              <w:rPr>
                <w:rFonts w:hint="default" w:ascii="Times New Roman" w:hAnsi="Times New Roman" w:eastAsia="文星仿宋" w:cs="Times New Roman"/>
                <w:color w:val="0C0C0C"/>
                <w:sz w:val="28"/>
                <w:szCs w:val="36"/>
              </w:rPr>
              <w:t>新建城区、新建居住（小）区按照每百户不低于20平方米的标准配套建设养老服务设施；旧城区和已建住宅小区按照每百户不低于15平方米的标准，通过新建、改建、购置、置换和租赁等方式配置补齐。</w:t>
            </w:r>
          </w:p>
          <w:p>
            <w:pPr>
              <w:pStyle w:val="7"/>
              <w:keepNext w:val="0"/>
              <w:keepLines w:val="0"/>
              <w:pageBreakBefore w:val="0"/>
              <w:widowControl/>
              <w:numPr>
                <w:ilvl w:val="0"/>
                <w:numId w:val="3"/>
              </w:numPr>
              <w:tabs>
                <w:tab w:val="left"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到2025年，全</w:t>
            </w:r>
            <w:r>
              <w:rPr>
                <w:rFonts w:hint="default" w:ascii="Times New Roman" w:hAnsi="Times New Roman" w:eastAsia="文星仿宋" w:cs="Times New Roman"/>
                <w:color w:val="0C0C0C"/>
                <w:sz w:val="28"/>
                <w:szCs w:val="36"/>
                <w:lang w:eastAsia="zh-CN"/>
              </w:rPr>
              <w:t>县</w:t>
            </w:r>
            <w:r>
              <w:rPr>
                <w:rFonts w:hint="default" w:ascii="Times New Roman" w:hAnsi="Times New Roman" w:eastAsia="文星仿宋" w:cs="Times New Roman"/>
                <w:color w:val="0C0C0C"/>
                <w:sz w:val="28"/>
                <w:szCs w:val="36"/>
              </w:rPr>
              <w:t>乡镇范围具备全日托养、日间照料、上门服务、协调指导等功能的综合养老服务机构（中心）覆盖率达到60%以上。</w:t>
            </w:r>
          </w:p>
          <w:p>
            <w:pPr>
              <w:pStyle w:val="7"/>
              <w:keepNext w:val="0"/>
              <w:keepLines w:val="0"/>
              <w:pageBreakBefore w:val="0"/>
              <w:widowControl/>
              <w:numPr>
                <w:ilvl w:val="0"/>
                <w:numId w:val="3"/>
              </w:numPr>
              <w:tabs>
                <w:tab w:val="left"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支持居家养老助餐配餐长效供应</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持续推进居家养老“大配餐”服务模式</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健全完善助餐配餐服务点</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不断满足老年人居家用餐服务现实需求。</w:t>
            </w:r>
          </w:p>
          <w:p>
            <w:pPr>
              <w:pStyle w:val="7"/>
              <w:keepNext w:val="0"/>
              <w:keepLines w:val="0"/>
              <w:pageBreakBefore w:val="0"/>
              <w:widowControl/>
              <w:numPr>
                <w:ilvl w:val="0"/>
                <w:numId w:val="3"/>
              </w:numPr>
              <w:tabs>
                <w:tab w:val="left"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依托社区养老服务设施和居家社区养老服务信息化平台</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利用村（居）社会工作服务（点）、基层社区网格化治理体系</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建立健全居家老年人“一键呼救”紧急救援响应相关机制</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保障居家老年人紧急救援的应急需求。</w:t>
            </w:r>
          </w:p>
          <w:p>
            <w:pPr>
              <w:pStyle w:val="7"/>
              <w:keepNext w:val="0"/>
              <w:keepLines w:val="0"/>
              <w:pageBreakBefore w:val="0"/>
              <w:widowControl/>
              <w:numPr>
                <w:ilvl w:val="0"/>
                <w:numId w:val="3"/>
              </w:numPr>
              <w:tabs>
                <w:tab w:val="left"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到2025年，全面建立居家社区老年人定期探访制度，重点关注空巢、留守、失能、重残、计划生育特殊家庭等特殊困难老年人，特殊困难老年人月探访率达到100%。</w:t>
            </w:r>
          </w:p>
        </w:tc>
      </w:tr>
    </w:tbl>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616" w:beforeLines="10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07" w:name="_Toc32631"/>
      <w:bookmarkStart w:id="108" w:name="_Toc20382"/>
      <w:bookmarkStart w:id="109" w:name="_Toc12560"/>
      <w:bookmarkStart w:id="110" w:name="_Toc8317"/>
      <w:bookmarkStart w:id="111" w:name="_Toc6012"/>
      <w:r>
        <w:rPr>
          <w:rFonts w:hint="default" w:ascii="Times New Roman" w:hAnsi="Times New Roman" w:eastAsia="文星楷体" w:cs="Times New Roman"/>
          <w:b w:val="0"/>
          <w:bCs/>
          <w:color w:val="0C0C0C"/>
          <w:sz w:val="32"/>
          <w:szCs w:val="20"/>
          <w:lang w:eastAsia="zh-CN"/>
        </w:rPr>
        <w:t>第四节</w:t>
      </w:r>
      <w:r>
        <w:rPr>
          <w:rFonts w:hint="default" w:ascii="Times New Roman" w:hAnsi="Times New Roman" w:eastAsia="文星楷体" w:cs="Times New Roman"/>
          <w:b w:val="0"/>
          <w:bCs/>
          <w:color w:val="0C0C0C"/>
          <w:sz w:val="32"/>
          <w:szCs w:val="20"/>
          <w:lang w:val="en-US" w:eastAsia="zh-CN"/>
        </w:rPr>
        <w:t xml:space="preserve"> 提高医养结合服务转型升级</w:t>
      </w:r>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bCs/>
          <w:color w:val="0C0C0C"/>
          <w:sz w:val="32"/>
          <w:szCs w:val="32"/>
        </w:rPr>
        <w:t>促进机构医养结合发展。</w:t>
      </w:r>
      <w:r>
        <w:rPr>
          <w:rFonts w:hint="default" w:ascii="Times New Roman" w:hAnsi="Times New Roman" w:eastAsia="文星仿宋" w:cs="Times New Roman"/>
          <w:b w:val="0"/>
          <w:bCs w:val="0"/>
          <w:color w:val="0C0C0C"/>
          <w:sz w:val="32"/>
          <w:szCs w:val="32"/>
        </w:rPr>
        <w:t>统筹布局医疗卫生和养老服务资源，实现社会资源利用最大化。统筹落实医养结合扶持政策措施，优化医养结合机构审批登记流程和环境。支持养老机构设立医疗机构、开展医疗服务和医疗机构设立养老机构、开展养老服务，在养老机构中加强老年病医院、康复医院、护理院和中医院等建设。严格落实医疗机构医疗保障定点管理相关规定，切实将养老机构内设的医疗机构纳入基本医疗保险定点结算范围，并加强监督和管理。到2025年，普遍建立养老机构与医疗机构预约就诊、双向就诊等合作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发展中医特色康复养老服务。</w:t>
      </w:r>
      <w:r>
        <w:rPr>
          <w:rFonts w:hint="default" w:ascii="Times New Roman" w:hAnsi="Times New Roman" w:eastAsia="文星仿宋" w:cs="Times New Roman"/>
          <w:b w:val="0"/>
          <w:bCs w:val="0"/>
          <w:color w:val="0C0C0C"/>
          <w:kern w:val="2"/>
          <w:sz w:val="32"/>
          <w:szCs w:val="32"/>
          <w:lang w:val="en-US" w:eastAsia="zh-CN" w:bidi="ar-SA"/>
        </w:rPr>
        <w:t>立足我县生态环境、长寿资源等优势，充分发挥中医药在治未病、慢性病管理、疾病治疗和康复中的独特作用，推动中医医院、社区卫生服务中心、镇卫生院与养老机构、社区养老服务中心等融合发展，促进中医药与养老服务密切结合，构建老年专病患者医康护养生态系统模式。放宽准入条件，优化审批环节，通过特许经营、公建民营、民办公助等模式，鼓励和支持社会力量举办具有中医药特色的医养结合机构以及护理、疗养、康复机构。鼓励公立中医药机构执业医生到有条件的养老机构多点执业，在养老机构提供保健咨询和调理服务。支持养老机构开设中医诊所，提供具有中医特色的老年人养生保健、医疗、康复、护理、健康管理服务，让群众就近享有规范、便捷、有效的中医特色康复服务</w:t>
      </w:r>
      <w:r>
        <w:rPr>
          <w:rFonts w:hint="default" w:ascii="Times New Roman" w:hAnsi="Times New Roman" w:eastAsia="文星仿宋" w:cs="Times New Roman"/>
          <w:color w:val="0C0C0C"/>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提升基层医养结合服务能力。</w:t>
      </w:r>
      <w:r>
        <w:rPr>
          <w:rFonts w:hint="default" w:ascii="Times New Roman" w:hAnsi="Times New Roman" w:eastAsia="文星仿宋" w:cs="Times New Roman"/>
          <w:color w:val="0C0C0C"/>
          <w:sz w:val="32"/>
          <w:szCs w:val="32"/>
        </w:rPr>
        <w:t>促进基层医疗卫生与养老服务深度融合，支持新建社区卫生服务机构与社区养老服务机构、乡镇卫生院与敬老院、乡村卫生站与</w:t>
      </w:r>
      <w:r>
        <w:rPr>
          <w:rFonts w:hint="default" w:ascii="Times New Roman" w:hAnsi="Times New Roman" w:eastAsia="文星仿宋" w:cs="Times New Roman"/>
          <w:color w:val="0C0C0C"/>
          <w:sz w:val="32"/>
          <w:szCs w:val="32"/>
          <w:lang w:eastAsia="zh-CN"/>
        </w:rPr>
        <w:t>养老服务站</w:t>
      </w:r>
      <w:r>
        <w:rPr>
          <w:rFonts w:hint="default" w:ascii="Times New Roman" w:hAnsi="Times New Roman" w:eastAsia="文星仿宋" w:cs="Times New Roman"/>
          <w:color w:val="0C0C0C"/>
          <w:sz w:val="32"/>
          <w:szCs w:val="32"/>
        </w:rPr>
        <w:t>统筹规划、毗邻建设</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利用</w:t>
      </w:r>
      <w:r>
        <w:rPr>
          <w:rFonts w:hint="default" w:ascii="Times New Roman" w:hAnsi="Times New Roman" w:eastAsia="文星仿宋" w:cs="Times New Roman"/>
          <w:color w:val="0C0C0C"/>
          <w:sz w:val="32"/>
          <w:szCs w:val="32"/>
          <w:lang w:eastAsia="zh-CN"/>
        </w:rPr>
        <w:t>现有</w:t>
      </w:r>
      <w:r>
        <w:rPr>
          <w:rFonts w:hint="default" w:ascii="Times New Roman" w:hAnsi="Times New Roman" w:eastAsia="文星仿宋" w:cs="Times New Roman"/>
          <w:color w:val="0C0C0C"/>
          <w:sz w:val="32"/>
          <w:szCs w:val="32"/>
        </w:rPr>
        <w:t>社区卫生服务机构和社区养老服务机构、乡镇卫生院</w:t>
      </w:r>
      <w:r>
        <w:rPr>
          <w:rFonts w:hint="default" w:ascii="Times New Roman" w:hAnsi="Times New Roman" w:eastAsia="文星仿宋" w:cs="Times New Roman"/>
          <w:color w:val="0C0C0C"/>
          <w:sz w:val="32"/>
          <w:szCs w:val="32"/>
          <w:lang w:eastAsia="zh-CN"/>
        </w:rPr>
        <w:t>和</w:t>
      </w:r>
      <w:r>
        <w:rPr>
          <w:rFonts w:hint="default" w:ascii="Times New Roman" w:hAnsi="Times New Roman" w:eastAsia="文星仿宋" w:cs="Times New Roman"/>
          <w:color w:val="0C0C0C"/>
          <w:sz w:val="32"/>
          <w:szCs w:val="32"/>
        </w:rPr>
        <w:t>敬老院等资源，改（扩）建一批社区（</w:t>
      </w:r>
      <w:r>
        <w:rPr>
          <w:rFonts w:hint="default" w:ascii="Times New Roman" w:hAnsi="Times New Roman" w:eastAsia="文星仿宋" w:cs="Times New Roman"/>
          <w:color w:val="0C0C0C"/>
          <w:sz w:val="32"/>
          <w:szCs w:val="32"/>
          <w:lang w:eastAsia="zh-CN"/>
        </w:rPr>
        <w:t>镇</w:t>
      </w:r>
      <w:r>
        <w:rPr>
          <w:rFonts w:hint="default" w:ascii="Times New Roman" w:hAnsi="Times New Roman" w:eastAsia="文星仿宋" w:cs="Times New Roman"/>
          <w:color w:val="0C0C0C"/>
          <w:sz w:val="32"/>
          <w:szCs w:val="32"/>
        </w:rPr>
        <w:t>）医养结合服务设施，重点为社区（</w:t>
      </w:r>
      <w:r>
        <w:rPr>
          <w:rFonts w:hint="default" w:ascii="Times New Roman" w:hAnsi="Times New Roman" w:eastAsia="文星仿宋" w:cs="Times New Roman"/>
          <w:color w:val="0C0C0C"/>
          <w:sz w:val="32"/>
          <w:szCs w:val="32"/>
          <w:lang w:eastAsia="zh-CN"/>
        </w:rPr>
        <w:t>镇</w:t>
      </w:r>
      <w:r>
        <w:rPr>
          <w:rFonts w:hint="default" w:ascii="Times New Roman" w:hAnsi="Times New Roman" w:eastAsia="文星仿宋" w:cs="Times New Roman"/>
          <w:color w:val="0C0C0C"/>
          <w:sz w:val="32"/>
          <w:szCs w:val="32"/>
        </w:rPr>
        <w:t>）失能老年人提供集中或居家医养结合服务。依托乡镇卫生院、社区卫生服务</w:t>
      </w:r>
      <w:r>
        <w:rPr>
          <w:rFonts w:hint="default" w:ascii="Times New Roman" w:hAnsi="Times New Roman" w:eastAsia="文星仿宋" w:cs="Times New Roman"/>
          <w:color w:val="0C0C0C"/>
          <w:sz w:val="32"/>
          <w:szCs w:val="32"/>
          <w:lang w:eastAsia="zh-CN"/>
        </w:rPr>
        <w:t>机构</w:t>
      </w:r>
      <w:r>
        <w:rPr>
          <w:rFonts w:hint="default" w:ascii="Times New Roman" w:hAnsi="Times New Roman" w:eastAsia="文星仿宋" w:cs="Times New Roman"/>
          <w:color w:val="0C0C0C"/>
          <w:sz w:val="32"/>
          <w:szCs w:val="32"/>
        </w:rPr>
        <w:t>等开展护理</w:t>
      </w:r>
      <w:r>
        <w:rPr>
          <w:rFonts w:hint="default" w:ascii="Times New Roman" w:hAnsi="Times New Roman" w:eastAsia="文星仿宋" w:cs="Times New Roman"/>
          <w:color w:val="0C0C0C"/>
          <w:sz w:val="32"/>
          <w:szCs w:val="32"/>
          <w:lang w:eastAsia="zh-CN"/>
        </w:rPr>
        <w:t>服务，积极发展家庭养老床位和护理型养老床位，为失能老年人提供适宜、综合连续的长期照护服务。</w:t>
      </w:r>
      <w:r>
        <w:rPr>
          <w:rFonts w:hint="default" w:ascii="Times New Roman" w:hAnsi="Times New Roman" w:eastAsia="文星仿宋" w:cs="Times New Roman"/>
          <w:color w:val="0C0C0C"/>
          <w:sz w:val="32"/>
          <w:szCs w:val="32"/>
        </w:rPr>
        <w:t>以为高龄失能失智老年人居家提供健康安居、普惠照护服务作为突破口，做实家庭医生签约服务，鼓励医疗机构和医务工作者为居家失能老年人提供家庭病床、巡诊等上门医疗服务。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建立完善老年人健康服务体系。</w:t>
      </w:r>
      <w:r>
        <w:rPr>
          <w:rFonts w:hint="default" w:ascii="Times New Roman" w:hAnsi="Times New Roman" w:eastAsia="文星仿宋" w:cs="Times New Roman"/>
          <w:color w:val="0C0C0C"/>
          <w:sz w:val="32"/>
          <w:szCs w:val="32"/>
        </w:rPr>
        <w:t>将大健康理念深入融入养老服务，延伸养老服务链条，做好老年人健康教育、预防保健、疾病诊治、康复护理、长期照护、安宁疗护等服务，实现从健康管理、失能照护到安宁疗护的老年人生命周期全覆盖。加强老年失能预防，推动失能预防关口前移，降低老年人失能发生率。建立健全以基层医疗卫生机构为基础，老年医院和综合性医院老年医学科为核心，相关教学科研机构为支撑的老年医疗服务网络。聚焦失能老年人的实际需求</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建立完善以机构为支撑、社区为依托、居家为基础，以老年人需求为导向的老年护理服务网络。到202</w:t>
      </w:r>
      <w:r>
        <w:rPr>
          <w:rFonts w:hint="default" w:ascii="Times New Roman" w:hAnsi="Times New Roman" w:eastAsia="文星仿宋" w:cs="Times New Roman"/>
          <w:color w:val="0C0C0C"/>
          <w:sz w:val="32"/>
          <w:szCs w:val="32"/>
          <w:lang w:val="en-US" w:eastAsia="zh-CN"/>
        </w:rPr>
        <w:t>5</w:t>
      </w:r>
      <w:r>
        <w:rPr>
          <w:rFonts w:hint="default" w:ascii="Times New Roman" w:hAnsi="Times New Roman" w:eastAsia="文星仿宋" w:cs="Times New Roman"/>
          <w:color w:val="0C0C0C"/>
          <w:sz w:val="32"/>
          <w:szCs w:val="32"/>
        </w:rPr>
        <w:t>年，综合连续、城乡覆盖的老年健康服务体系基本建立</w:t>
      </w:r>
      <w:r>
        <w:rPr>
          <w:rFonts w:hint="default" w:ascii="Times New Roman" w:hAnsi="Times New Roman" w:eastAsia="文星仿宋" w:cs="Times New Roman"/>
          <w:color w:val="0C0C0C"/>
          <w:sz w:val="32"/>
          <w:szCs w:val="32"/>
          <w:lang w:eastAsia="zh-CN"/>
        </w:rPr>
        <w:t>，老年人的健康服务需求得到基本满足</w:t>
      </w:r>
      <w:r>
        <w:rPr>
          <w:rFonts w:hint="default" w:ascii="Times New Roman" w:hAnsi="Times New Roman" w:eastAsia="文星仿宋" w:cs="Times New Roman"/>
          <w:color w:val="0C0C0C"/>
          <w:sz w:val="32"/>
          <w:szCs w:val="32"/>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C0C0C"/>
        </w:rPr>
      </w:pPr>
    </w:p>
    <w:tbl>
      <w:tblPr>
        <w:tblStyle w:val="9"/>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3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文星黑体" w:cs="Times New Roman"/>
                <w:b w:val="0"/>
                <w:bCs w:val="0"/>
                <w:color w:val="0C0C0C"/>
                <w:sz w:val="32"/>
                <w:szCs w:val="32"/>
              </w:rPr>
            </w:pPr>
            <w:r>
              <w:rPr>
                <w:rFonts w:hint="default" w:ascii="Times New Roman" w:hAnsi="Times New Roman" w:eastAsia="文星黑体" w:cs="Times New Roman"/>
                <w:b w:val="0"/>
                <w:bCs w:val="0"/>
                <w:color w:val="0C0C0C"/>
                <w:sz w:val="32"/>
                <w:szCs w:val="32"/>
              </w:rPr>
              <w:t>专栏</w:t>
            </w:r>
            <w:r>
              <w:rPr>
                <w:rFonts w:hint="default" w:ascii="Times New Roman" w:hAnsi="Times New Roman" w:eastAsia="文星黑体" w:cs="Times New Roman"/>
                <w:b w:val="0"/>
                <w:bCs w:val="0"/>
                <w:color w:val="0C0C0C"/>
                <w:sz w:val="32"/>
                <w:szCs w:val="32"/>
                <w:lang w:val="en-US" w:eastAsia="zh-CN"/>
              </w:rPr>
              <w:t xml:space="preserve">3： </w:t>
            </w:r>
            <w:r>
              <w:rPr>
                <w:rFonts w:hint="default" w:ascii="Times New Roman" w:hAnsi="Times New Roman" w:eastAsia="文星黑体" w:cs="Times New Roman"/>
                <w:b w:val="0"/>
                <w:bCs w:val="0"/>
                <w:color w:val="0C0C0C"/>
                <w:sz w:val="32"/>
                <w:szCs w:val="32"/>
              </w:rPr>
              <w:t>医养康养结合服务能力提升行动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2"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b/>
                <w:bCs/>
                <w:color w:val="0C0C0C"/>
                <w:sz w:val="28"/>
                <w:szCs w:val="36"/>
                <w:lang w:val="en-US" w:eastAsia="zh-CN"/>
              </w:rPr>
              <w:t>1.</w:t>
            </w:r>
            <w:r>
              <w:rPr>
                <w:rFonts w:hint="default" w:ascii="Times New Roman" w:hAnsi="Times New Roman" w:eastAsia="文星仿宋" w:cs="Times New Roman"/>
                <w:b/>
                <w:bCs/>
                <w:color w:val="0C0C0C"/>
                <w:sz w:val="28"/>
                <w:szCs w:val="36"/>
              </w:rPr>
              <w:t>加大医保定点支持力度。</w:t>
            </w:r>
            <w:r>
              <w:rPr>
                <w:rFonts w:hint="default" w:ascii="Times New Roman" w:hAnsi="Times New Roman" w:eastAsia="文星仿宋" w:cs="Times New Roman"/>
                <w:color w:val="0C0C0C"/>
                <w:sz w:val="28"/>
                <w:szCs w:val="36"/>
              </w:rPr>
              <w:t>医养结合机构中内设的医疗机构正式运营3个月后即可提出纳入医疗保障定点申请</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自受理申请材料之日起</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评估时间不超过3个月</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医疗机构补充材料时间不计入评估期限。</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2"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b/>
                <w:bCs/>
                <w:color w:val="0C0C0C"/>
                <w:sz w:val="28"/>
                <w:szCs w:val="36"/>
                <w:lang w:val="en-US" w:eastAsia="zh-CN"/>
              </w:rPr>
              <w:t>2.</w:t>
            </w:r>
            <w:r>
              <w:rPr>
                <w:rFonts w:hint="default" w:ascii="Times New Roman" w:hAnsi="Times New Roman" w:eastAsia="文星仿宋" w:cs="Times New Roman"/>
                <w:b/>
                <w:bCs/>
                <w:color w:val="0C0C0C"/>
                <w:sz w:val="28"/>
                <w:szCs w:val="36"/>
              </w:rPr>
              <w:t>加大税费优惠政策落实力度。</w:t>
            </w:r>
            <w:r>
              <w:rPr>
                <w:rFonts w:hint="default" w:ascii="Times New Roman" w:hAnsi="Times New Roman" w:eastAsia="文星仿宋" w:cs="Times New Roman"/>
                <w:color w:val="0C0C0C"/>
                <w:sz w:val="28"/>
                <w:szCs w:val="36"/>
              </w:rPr>
              <w:t>经认定为非营利组织的社会办医养结合机构，其符合条件的非营利性收入免征企业所得税</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其自用的房产、土地，按规定享受房产税、城镇土地使用税优惠政策；符合条件的医养结合机构享受小微企业等财税优惠政策</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对在社区提供日间照料、康复护理等服务的机构，符合条件的按规定给予税费减免、资金支持、水电气价格优惠等</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对医养结合机构按规定实行行政事业性收费优惠政策。</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2"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b/>
                <w:bCs/>
                <w:color w:val="0C0C0C"/>
                <w:sz w:val="28"/>
                <w:szCs w:val="36"/>
                <w:lang w:val="en-US" w:eastAsia="zh-CN"/>
              </w:rPr>
              <w:t>3.</w:t>
            </w:r>
            <w:r>
              <w:rPr>
                <w:rFonts w:hint="default" w:ascii="Times New Roman" w:hAnsi="Times New Roman" w:eastAsia="文星仿宋" w:cs="Times New Roman"/>
                <w:b/>
                <w:bCs/>
                <w:color w:val="0C0C0C"/>
                <w:sz w:val="28"/>
                <w:szCs w:val="36"/>
              </w:rPr>
              <w:t>加大医务人员从事医养结合服务支持力度</w:t>
            </w:r>
            <w:r>
              <w:rPr>
                <w:rFonts w:hint="default" w:ascii="Times New Roman" w:hAnsi="Times New Roman" w:eastAsia="文星仿宋" w:cs="Times New Roman"/>
                <w:color w:val="0C0C0C"/>
                <w:sz w:val="28"/>
                <w:szCs w:val="36"/>
              </w:rPr>
              <w:t>。实施医师执业地点区域注册制度，支持医务人员到医养结合机构执业，鼓励退休医务人员到医养结合机构执业，引导执业院校护理及相关专业毕业生到医养结合机构执业。医养结合机构中的医务人员在职称评定、专业技术人员继续教育等方面享受与其他医疗卫生机构同等待遇。</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2"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b/>
                <w:bCs/>
                <w:color w:val="0C0C0C"/>
                <w:sz w:val="28"/>
                <w:szCs w:val="36"/>
                <w:lang w:val="en-US" w:eastAsia="zh-CN"/>
              </w:rPr>
              <w:t>4.</w:t>
            </w:r>
            <w:r>
              <w:rPr>
                <w:rFonts w:hint="default" w:ascii="Times New Roman" w:hAnsi="Times New Roman" w:eastAsia="文星仿宋" w:cs="Times New Roman"/>
                <w:b/>
                <w:bCs/>
                <w:color w:val="0C0C0C"/>
                <w:sz w:val="28"/>
                <w:szCs w:val="36"/>
              </w:rPr>
              <w:t>鼓励养老机构与医疗机构开展多种形式的签约合作。</w:t>
            </w:r>
            <w:r>
              <w:rPr>
                <w:rFonts w:hint="default" w:ascii="Times New Roman" w:hAnsi="Times New Roman" w:eastAsia="文星仿宋" w:cs="Times New Roman"/>
                <w:color w:val="0C0C0C"/>
                <w:sz w:val="28"/>
                <w:szCs w:val="36"/>
              </w:rPr>
              <w:t>推进养老机构与周边医疗卫生机构建立协议合作关系，医疗卫生机构为养老机构设置老年人就诊绿色通道，基层医疗卫生机构和医务人员与居家老人建立签约服务关系</w:t>
            </w:r>
            <w:r>
              <w:rPr>
                <w:rFonts w:hint="default" w:ascii="Times New Roman" w:hAnsi="Times New Roman" w:eastAsia="文星仿宋" w:cs="Times New Roman"/>
                <w:color w:val="0C0C0C"/>
                <w:sz w:val="28"/>
                <w:szCs w:val="36"/>
                <w:lang w:eastAsia="zh-CN"/>
              </w:rPr>
              <w:t>。</w:t>
            </w:r>
            <w:r>
              <w:rPr>
                <w:rFonts w:hint="default" w:ascii="Times New Roman" w:hAnsi="Times New Roman" w:eastAsia="文星仿宋" w:cs="Times New Roman"/>
                <w:color w:val="0C0C0C"/>
                <w:sz w:val="28"/>
                <w:szCs w:val="36"/>
              </w:rPr>
              <w:t>探索相关机构养老床位和医疗床位按需规范转换机制。</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2"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b/>
                <w:bCs/>
                <w:color w:val="0C0C0C"/>
                <w:sz w:val="28"/>
                <w:szCs w:val="36"/>
              </w:rPr>
              <w:t>5.积极探索“两院一体”医养结合模式。</w:t>
            </w:r>
            <w:r>
              <w:rPr>
                <w:rFonts w:hint="default" w:ascii="Times New Roman" w:hAnsi="Times New Roman" w:eastAsia="文星仿宋" w:cs="Times New Roman"/>
                <w:color w:val="0C0C0C"/>
                <w:sz w:val="28"/>
                <w:szCs w:val="36"/>
              </w:rPr>
              <w:t>促进医疗卫生与养老服务资源整合、功能结合、服务衔接、协作有序，推进社区卫生服务机构与社区养老服务机构、乡镇卫生院与敬老院、乡村卫生站与养老服务站一体或毗邻建设。2025年底前，</w:t>
            </w:r>
            <w:r>
              <w:rPr>
                <w:rFonts w:hint="default" w:ascii="Times New Roman" w:hAnsi="Times New Roman" w:eastAsia="文星仿宋" w:cs="Times New Roman"/>
                <w:color w:val="0C0C0C"/>
                <w:sz w:val="28"/>
                <w:szCs w:val="36"/>
                <w:lang w:eastAsia="zh-CN"/>
              </w:rPr>
              <w:t>全县</w:t>
            </w:r>
            <w:r>
              <w:rPr>
                <w:rFonts w:hint="default" w:ascii="Times New Roman" w:hAnsi="Times New Roman" w:eastAsia="文星仿宋" w:cs="Times New Roman"/>
                <w:color w:val="0C0C0C"/>
                <w:sz w:val="28"/>
                <w:szCs w:val="36"/>
              </w:rPr>
              <w:t>有1所以上具有医养结合功能的县级特困人员供养服务机构。</w:t>
            </w:r>
          </w:p>
        </w:tc>
      </w:tr>
    </w:tbl>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12" w:name="_Toc4117"/>
      <w:bookmarkStart w:id="113" w:name="_Toc9938"/>
      <w:bookmarkStart w:id="114" w:name="_Toc26408"/>
      <w:bookmarkStart w:id="115" w:name="_Toc22423"/>
      <w:bookmarkStart w:id="116" w:name="_Toc28333"/>
      <w:r>
        <w:rPr>
          <w:rFonts w:hint="default" w:ascii="Times New Roman" w:hAnsi="Times New Roman" w:eastAsia="文星楷体" w:cs="Times New Roman"/>
          <w:b w:val="0"/>
          <w:bCs/>
          <w:color w:val="0C0C0C"/>
          <w:sz w:val="32"/>
          <w:szCs w:val="20"/>
          <w:lang w:eastAsia="zh-CN"/>
        </w:rPr>
        <w:t>第五节</w:t>
      </w:r>
      <w:r>
        <w:rPr>
          <w:rFonts w:hint="default" w:ascii="Times New Roman" w:hAnsi="Times New Roman" w:eastAsia="文星楷体" w:cs="Times New Roman"/>
          <w:b w:val="0"/>
          <w:bCs/>
          <w:color w:val="0C0C0C"/>
          <w:sz w:val="32"/>
          <w:szCs w:val="20"/>
          <w:lang w:val="en-US" w:eastAsia="zh-CN"/>
        </w:rPr>
        <w:t xml:space="preserve"> 提高社会办普惠型养老服务</w:t>
      </w:r>
      <w:bookmarkEnd w:id="112"/>
      <w:bookmarkEnd w:id="113"/>
      <w:bookmarkEnd w:id="114"/>
      <w:bookmarkEnd w:id="115"/>
      <w:r>
        <w:rPr>
          <w:rFonts w:hint="default" w:ascii="Times New Roman" w:hAnsi="Times New Roman" w:eastAsia="文星楷体" w:cs="Times New Roman"/>
          <w:b w:val="0"/>
          <w:bCs/>
          <w:color w:val="0C0C0C"/>
          <w:sz w:val="32"/>
          <w:szCs w:val="20"/>
          <w:lang w:val="en-US" w:eastAsia="zh-CN"/>
        </w:rPr>
        <w:t>水平</w:t>
      </w:r>
      <w:bookmarkEnd w:id="1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val="0"/>
          <w:bCs w:val="0"/>
          <w:color w:val="0C0C0C"/>
          <w:sz w:val="32"/>
          <w:szCs w:val="32"/>
        </w:rPr>
        <w:t>引导和支持各类社会主体扩大普惠型养老服务供给，适应医养结合、居家社区养老等多样化养老服务模式，基于市场原则建立健全支持普惠性养老服务发展的价格机制，丰富价格可负担</w:t>
      </w:r>
      <w:r>
        <w:rPr>
          <w:rFonts w:hint="default" w:ascii="Times New Roman" w:hAnsi="Times New Roman" w:eastAsia="文星仿宋" w:cs="Times New Roman"/>
          <w:b w:val="0"/>
          <w:bCs w:val="0"/>
          <w:color w:val="0C0C0C"/>
          <w:sz w:val="32"/>
          <w:szCs w:val="32"/>
          <w:lang w:eastAsia="zh-CN"/>
        </w:rPr>
        <w:t>、</w:t>
      </w:r>
      <w:r>
        <w:rPr>
          <w:rFonts w:hint="default" w:ascii="Times New Roman" w:hAnsi="Times New Roman" w:eastAsia="文星仿宋" w:cs="Times New Roman"/>
          <w:b w:val="0"/>
          <w:bCs w:val="0"/>
          <w:color w:val="0C0C0C"/>
          <w:sz w:val="32"/>
          <w:szCs w:val="32"/>
        </w:rPr>
        <w:t>质量有保障的普惠型养老服务及老年用品供给</w:t>
      </w:r>
      <w:r>
        <w:rPr>
          <w:rFonts w:hint="default" w:ascii="Times New Roman" w:hAnsi="Times New Roman" w:eastAsia="文星仿宋" w:cs="Times New Roman"/>
          <w:b w:val="0"/>
          <w:bCs w:val="0"/>
          <w:color w:val="0C0C0C"/>
          <w:sz w:val="32"/>
          <w:szCs w:val="32"/>
          <w:lang w:eastAsia="zh-CN"/>
        </w:rPr>
        <w:t>。鼓励国有企业围绕主责主业发展普惠养老服务，引导其它社会力量参与养老服务设施的建设、运营和管理，享受政府扶持的社会办养老机构要重点发展普惠型养老服务，扩大护理型床位供给，优先接收失能、高龄、经济困难、计划生育特殊家庭等重点人群老年人，优先满足社会失能老年人照护的刚性需求。</w:t>
      </w:r>
    </w:p>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117" w:name="_Toc19510"/>
      <w:bookmarkStart w:id="118" w:name="_Toc9964"/>
      <w:bookmarkStart w:id="119" w:name="_Toc27838"/>
      <w:bookmarkStart w:id="120" w:name="_Toc3871"/>
      <w:bookmarkStart w:id="121" w:name="_Toc1247"/>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三</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w:t>
      </w:r>
      <w:r>
        <w:rPr>
          <w:rFonts w:hint="default" w:ascii="Times New Roman" w:hAnsi="Times New Roman" w:eastAsia="文星标宋" w:cs="Times New Roman"/>
          <w:b w:val="0"/>
          <w:bCs/>
          <w:color w:val="0C0C0C"/>
          <w:sz w:val="36"/>
          <w:szCs w:val="21"/>
        </w:rPr>
        <w:t>夯实养老事业与产业协同发展基础</w:t>
      </w:r>
      <w:bookmarkEnd w:id="117"/>
      <w:bookmarkEnd w:id="118"/>
      <w:bookmarkEnd w:id="119"/>
      <w:bookmarkEnd w:id="120"/>
      <w:bookmarkEnd w:id="121"/>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val="0"/>
          <w:bCs w:val="0"/>
          <w:color w:val="0C0C0C"/>
          <w:sz w:val="32"/>
          <w:szCs w:val="32"/>
          <w:lang w:eastAsia="zh-CN"/>
        </w:rPr>
        <w:t>以养老服务优质优效为目标，不断完善设施、资金、科技、应急保障等养老服务体系建设基础要素。</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22" w:name="_Toc11269"/>
      <w:bookmarkStart w:id="123" w:name="_Toc26915"/>
      <w:bookmarkStart w:id="124" w:name="_Toc27978"/>
      <w:bookmarkStart w:id="125" w:name="_Toc28318"/>
      <w:bookmarkStart w:id="126" w:name="_Toc31650"/>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夯实养老服务基础设施建设</w:t>
      </w:r>
      <w:bookmarkEnd w:id="122"/>
      <w:bookmarkEnd w:id="123"/>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推动养老服务设施建设达标</w:t>
      </w:r>
      <w:r>
        <w:rPr>
          <w:rFonts w:hint="default" w:ascii="Times New Roman" w:hAnsi="Times New Roman" w:eastAsia="文星仿宋" w:cs="Times New Roman"/>
          <w:color w:val="0C0C0C"/>
          <w:sz w:val="32"/>
          <w:szCs w:val="32"/>
        </w:rPr>
        <w:t>。编制县国土空间总体规划时，要根据人口结构、老龄化趋势因地制宜提出养老服务设施用地配置要求、布局原则及建设标准。健全完善养老服务设施建设标准和实施细则，落实新建住宅小区与配套养老服务设施“四同步”机制，加强设施设计、施工、验收等环节的监督管理，确保新建城区和住宅（小）区养老服务设施配建达标。全面清查整治新建城区和住宅（小）区养老服务设施配套情况，确保旧城区和已建住宅（小）区养老服务设施按标准填平补齐。鼓励农村养老服务设施与党群服务中心、新时代文明实践中心（所、站）、文化活动中心等融合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保障养老服务设施用地有效供给</w:t>
      </w:r>
      <w:r>
        <w:rPr>
          <w:rFonts w:hint="default" w:ascii="Times New Roman" w:hAnsi="Times New Roman" w:eastAsia="文星仿宋" w:cs="Times New Roman"/>
          <w:color w:val="0C0C0C"/>
          <w:sz w:val="32"/>
          <w:szCs w:val="32"/>
        </w:rPr>
        <w:t>。健全完善养老服务设施用地保障政策，严格按照人均用地不少于0.1平方米的标准，分区分级规划养老服务设施，对老龄化程度较高、发展趋势较快的地区，要适当提高用地比例。新建住宅小区配套建设居家社区养老服务设施，应当满足每百户不低于20平方米的标准</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科学编制养老服务设施供地计划，分阶段供应国土空间总体规划和详细规划确定的养老服务设施用地，并落实到年度建设供地计划应保尽保；涉及新增建设用地的，在土地利用年度计划中予以优先保障。鼓励非营利性养老服务机构以租赁</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出让等有偿使用方式取得国有建设用地使用权，支持政府以作价出资或入股方式提供土地</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与社会资本共同投资建设养老服务项目。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整合盘活利用存量闲置资源</w:t>
      </w:r>
      <w:r>
        <w:rPr>
          <w:rFonts w:hint="default" w:ascii="Times New Roman" w:hAnsi="Times New Roman" w:eastAsia="文星仿宋" w:cs="Times New Roman"/>
          <w:color w:val="0C0C0C"/>
          <w:sz w:val="32"/>
          <w:szCs w:val="32"/>
        </w:rPr>
        <w:t>。健全完善闲置资源改造养老服务设施政策措施，在符合详细规划的前提下，支持利用存量场所改建养老服务设施，并优化土地用途变更程序。对城镇现有闲置设施及农村集体用地上盖建筑物改造养老服务设施的，可先按养老设施使用，后改变土地使用性质。对存量商业服务用地开展养老服务的，允许按照适老化设计要求调整户均面积、租赁期限、车位配比及消防审验等土地和规划要求。鼓励将符合“三旧”改造条件的村级工业园、旧厂房等场所改造成养老服务设施。立足党政机关和国有企事业单位培训疗养机构改革实际，探索具备条件的培训疗养机构转型养老服务机构，主要面向中低收入群体提供质量有保障、价格可负担的普惠养老服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bCs/>
          <w:color w:val="0C0C0C"/>
          <w:sz w:val="32"/>
          <w:szCs w:val="32"/>
        </w:rPr>
        <w:t>推进居家社区适老化设施改造</w:t>
      </w:r>
      <w:r>
        <w:rPr>
          <w:rFonts w:hint="default" w:ascii="Times New Roman" w:hAnsi="Times New Roman" w:eastAsia="文星仿宋" w:cs="Times New Roman"/>
          <w:color w:val="0C0C0C"/>
          <w:sz w:val="32"/>
          <w:szCs w:val="32"/>
        </w:rPr>
        <w:t>。在城镇老旧小区改造中统筹推进社区适老化设施改造，通过开展场所无障碍改造、消防设施改造、因地制宜增加活动场地设施和健身体育设施、有条件的加装电梯等设施，为老年人提供安全、舒适、便利的社区环境。通过产业引导、业主众筹等方式，引导老年人家庭根据老年人身体状况、康复辅助器具需求、居住环境等特点，对住宅及家具设施等进行居家适老化改造。普遍采取政府补贴等方式，多措并举支持对特殊困难老年人实施居家适老化改造。发展康复辅助器具社区服务体系，鼓励开展康复辅助器具</w:t>
      </w:r>
      <w:r>
        <w:rPr>
          <w:rFonts w:hint="default" w:ascii="Times New Roman" w:hAnsi="Times New Roman" w:eastAsia="文星仿宋" w:cs="Times New Roman"/>
          <w:color w:val="0C0C0C"/>
          <w:sz w:val="32"/>
          <w:szCs w:val="32"/>
          <w:lang w:eastAsia="zh-CN"/>
        </w:rPr>
        <w:t>配置</w:t>
      </w:r>
      <w:r>
        <w:rPr>
          <w:rFonts w:hint="default" w:ascii="Times New Roman" w:hAnsi="Times New Roman" w:eastAsia="文星仿宋" w:cs="Times New Roman"/>
          <w:color w:val="0C0C0C"/>
          <w:sz w:val="32"/>
          <w:szCs w:val="32"/>
        </w:rPr>
        <w:t>、租赁服务，支持社区养老设施配备康复辅助器具并提供专业指导。</w:t>
      </w:r>
    </w:p>
    <w:p>
      <w:pPr>
        <w:pStyle w:val="2"/>
        <w:keepNext w:val="0"/>
        <w:keepLines w:val="0"/>
        <w:pageBreakBefore w:val="0"/>
        <w:widowControl w:val="0"/>
        <w:kinsoku/>
        <w:wordWrap/>
        <w:overflowPunct/>
        <w:topLinePunct w:val="0"/>
        <w:autoSpaceDE/>
        <w:autoSpaceDN/>
        <w:bidi w:val="0"/>
        <w:adjustRightInd/>
        <w:snapToGrid/>
        <w:spacing w:line="400" w:lineRule="exact"/>
        <w:ind w:firstLine="641"/>
        <w:textAlignment w:val="baseline"/>
        <w:rPr>
          <w:rFonts w:hint="default" w:ascii="Times New Roman" w:hAnsi="Times New Roman" w:eastAsia="文星仿宋" w:cs="Times New Roman"/>
          <w:color w:val="0C0C0C"/>
          <w:sz w:val="32"/>
          <w:szCs w:val="32"/>
          <w:lang w:eastAsia="zh-CN"/>
        </w:rPr>
      </w:pPr>
    </w:p>
    <w:tbl>
      <w:tblPr>
        <w:tblStyle w:val="9"/>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3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文星黑体" w:cs="Times New Roman"/>
                <w:b w:val="0"/>
                <w:bCs w:val="0"/>
                <w:color w:val="0C0C0C"/>
                <w:sz w:val="32"/>
                <w:szCs w:val="32"/>
              </w:rPr>
            </w:pPr>
            <w:r>
              <w:rPr>
                <w:rFonts w:hint="default" w:ascii="Times New Roman" w:hAnsi="Times New Roman" w:eastAsia="文星黑体" w:cs="Times New Roman"/>
                <w:b w:val="0"/>
                <w:bCs w:val="0"/>
                <w:color w:val="0C0C0C"/>
                <w:sz w:val="32"/>
                <w:szCs w:val="32"/>
              </w:rPr>
              <w:t>专栏</w:t>
            </w:r>
            <w:r>
              <w:rPr>
                <w:rFonts w:hint="default" w:ascii="Times New Roman" w:hAnsi="Times New Roman" w:eastAsia="文星黑体" w:cs="Times New Roman"/>
                <w:b w:val="0"/>
                <w:bCs w:val="0"/>
                <w:color w:val="0C0C0C"/>
                <w:sz w:val="32"/>
                <w:szCs w:val="32"/>
                <w:lang w:val="en-US" w:eastAsia="zh-CN"/>
              </w:rPr>
              <w:t>4：</w:t>
            </w:r>
            <w:r>
              <w:rPr>
                <w:rFonts w:hint="default" w:ascii="Times New Roman" w:hAnsi="Times New Roman" w:eastAsia="文星黑体" w:cs="Times New Roman"/>
                <w:b w:val="0"/>
                <w:bCs w:val="0"/>
                <w:color w:val="0C0C0C"/>
                <w:sz w:val="32"/>
                <w:szCs w:val="32"/>
              </w:rPr>
              <w:t>特殊困难老年人居家适老化改造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十四五”期间，采取政府补贴等方式，多措并举对特殊困难老年人实施居家适老化改造，根据当地实际和老年人家庭情况，合理确定每户特殊困难老年人家庭适老化改造的资助标准，切实保障特殊困难老年人群体的居家适老化需求。</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default" w:ascii="Times New Roman" w:hAnsi="Times New Roman" w:eastAsia="文星仿宋" w:cs="Times New Roman"/>
                <w:color w:val="0C0C0C"/>
                <w:sz w:val="28"/>
                <w:szCs w:val="36"/>
                <w:lang w:eastAsia="zh-CN"/>
              </w:rPr>
            </w:pPr>
            <w:r>
              <w:rPr>
                <w:rFonts w:hint="default" w:ascii="Times New Roman" w:hAnsi="Times New Roman" w:eastAsia="文星仿宋" w:cs="Times New Roman"/>
                <w:color w:val="0C0C0C"/>
                <w:sz w:val="28"/>
                <w:szCs w:val="36"/>
              </w:rPr>
              <w:t>1.重点支持保障纳入分散供养特困人员等范围的高龄、失能、残疾等特殊困难老年人最迫切的居家适老化改造需求</w:t>
            </w:r>
            <w:r>
              <w:rPr>
                <w:rFonts w:hint="default" w:ascii="Times New Roman" w:hAnsi="Times New Roman" w:eastAsia="文星仿宋" w:cs="Times New Roman"/>
                <w:color w:val="0C0C0C"/>
                <w:sz w:val="28"/>
                <w:szCs w:val="36"/>
                <w:lang w:eastAsia="zh-CN"/>
              </w:rPr>
              <w:t>。</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default" w:ascii="Times New Roman" w:hAnsi="Times New Roman" w:eastAsia="文星仿宋" w:cs="Times New Roman"/>
                <w:color w:val="0C0C0C"/>
                <w:sz w:val="28"/>
                <w:szCs w:val="36"/>
                <w:lang w:eastAsia="zh-CN"/>
              </w:rPr>
            </w:pPr>
            <w:r>
              <w:rPr>
                <w:rFonts w:hint="default" w:ascii="Times New Roman" w:hAnsi="Times New Roman" w:eastAsia="文星仿宋" w:cs="Times New Roman"/>
                <w:color w:val="0C0C0C"/>
                <w:sz w:val="28"/>
                <w:szCs w:val="36"/>
                <w:lang w:val="en-US" w:eastAsia="zh-CN"/>
              </w:rPr>
              <w:t>2</w:t>
            </w:r>
            <w:r>
              <w:rPr>
                <w:rFonts w:hint="default" w:ascii="Times New Roman" w:hAnsi="Times New Roman" w:eastAsia="文星仿宋" w:cs="Times New Roman"/>
                <w:color w:val="0C0C0C"/>
                <w:sz w:val="28"/>
                <w:szCs w:val="36"/>
              </w:rPr>
              <w:t>.鼓励和引导公益慈善组织、爱心社会力量捐赠支持特殊困难老年人家庭适老化改造</w:t>
            </w:r>
            <w:r>
              <w:rPr>
                <w:rFonts w:hint="default" w:ascii="Times New Roman" w:hAnsi="Times New Roman" w:eastAsia="文星仿宋" w:cs="Times New Roman"/>
                <w:color w:val="0C0C0C"/>
                <w:sz w:val="28"/>
                <w:szCs w:val="36"/>
                <w:lang w:eastAsia="zh-CN"/>
              </w:rPr>
              <w:t>。</w:t>
            </w:r>
          </w:p>
          <w:p>
            <w:pPr>
              <w:pStyle w:val="7"/>
              <w:keepNext w:val="0"/>
              <w:keepLines w:val="0"/>
              <w:pageBreakBefore w:val="0"/>
              <w:widowControl/>
              <w:numPr>
                <w:ilvl w:val="0"/>
                <w:numId w:val="0"/>
              </w:numPr>
              <w:tabs>
                <w:tab w:val="clear" w:pos="312"/>
              </w:tabs>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lang w:val="en-US" w:eastAsia="zh-CN"/>
              </w:rPr>
              <w:t>3</w:t>
            </w:r>
            <w:r>
              <w:rPr>
                <w:rFonts w:hint="default" w:ascii="Times New Roman" w:hAnsi="Times New Roman" w:eastAsia="文星仿宋" w:cs="Times New Roman"/>
                <w:color w:val="0C0C0C"/>
                <w:sz w:val="28"/>
                <w:szCs w:val="36"/>
              </w:rPr>
              <w:t>.探索符合当地实际的居家适老化改造创新模式，并根据当地经济社会发展实际逐步扩大适老化改造对象的范围。</w:t>
            </w:r>
          </w:p>
        </w:tc>
      </w:tr>
    </w:tbl>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616" w:beforeLines="10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27" w:name="_Toc26356"/>
      <w:bookmarkStart w:id="128" w:name="_Toc30047"/>
      <w:bookmarkStart w:id="129" w:name="_Toc10843"/>
      <w:bookmarkStart w:id="130" w:name="_Toc24798"/>
      <w:bookmarkStart w:id="131" w:name="_Toc14454"/>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加强</w:t>
      </w:r>
      <w:r>
        <w:rPr>
          <w:rFonts w:hint="default" w:ascii="Times New Roman" w:hAnsi="Times New Roman" w:eastAsia="文星楷体" w:cs="Times New Roman"/>
          <w:b w:val="0"/>
          <w:bCs/>
          <w:color w:val="0C0C0C"/>
          <w:sz w:val="32"/>
          <w:szCs w:val="20"/>
          <w:lang w:eastAsia="zh-CN"/>
        </w:rPr>
        <w:t>资金要素保障</w:t>
      </w:r>
      <w:bookmarkEnd w:id="127"/>
      <w:bookmarkEnd w:id="128"/>
      <w:bookmarkEnd w:id="129"/>
      <w:bookmarkEnd w:id="130"/>
      <w:bookmarkEnd w:id="131"/>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b/>
          <w:bCs/>
          <w:color w:val="0C0C0C"/>
          <w:sz w:val="32"/>
          <w:szCs w:val="32"/>
          <w:lang w:eastAsia="zh-CN"/>
        </w:rPr>
        <w:t>加强</w:t>
      </w:r>
      <w:r>
        <w:rPr>
          <w:rFonts w:hint="default" w:ascii="Times New Roman" w:hAnsi="Times New Roman" w:eastAsia="文星仿宋" w:cs="Times New Roman"/>
          <w:b/>
          <w:bCs/>
          <w:color w:val="0C0C0C"/>
          <w:sz w:val="32"/>
          <w:szCs w:val="32"/>
        </w:rPr>
        <w:t>财政资金保障</w:t>
      </w:r>
      <w:r>
        <w:rPr>
          <w:rFonts w:hint="default" w:ascii="Times New Roman" w:hAnsi="Times New Roman" w:eastAsia="文星仿宋" w:cs="Times New Roman"/>
          <w:b/>
          <w:bCs/>
          <w:color w:val="0C0C0C"/>
          <w:sz w:val="32"/>
          <w:szCs w:val="32"/>
          <w:lang w:eastAsia="zh-CN"/>
        </w:rPr>
        <w:t>。</w:t>
      </w:r>
      <w:r>
        <w:rPr>
          <w:rFonts w:hint="default" w:ascii="Times New Roman" w:hAnsi="Times New Roman" w:eastAsia="文星仿宋" w:cs="Times New Roman"/>
          <w:color w:val="0C0C0C"/>
          <w:sz w:val="32"/>
          <w:szCs w:val="32"/>
        </w:rPr>
        <w:t>从2021年起，政府用于社会福利事业的彩票公益金中不低于55%的资金用于支持发展养老服务，并与一般性公共预算安排的养老服务体系建设资金统筹使用。加大对基本养老服务的优先保障，加大对重点领域、重点项目和重点工程的资助扶持，政府购买养老服务所需资金纳入养老服务体系建设资金统筹安排</w:t>
      </w:r>
      <w:r>
        <w:rPr>
          <w:rFonts w:hint="default" w:ascii="Times New Roman" w:hAnsi="Times New Roman" w:eastAsia="文星仿宋" w:cs="Times New Roman"/>
          <w:color w:val="0C0C0C"/>
          <w:sz w:val="32"/>
          <w:szCs w:val="32"/>
          <w:lang w:eastAsia="zh-CN"/>
        </w:rPr>
        <w:t>。提高资金投入的有效性和精准度，引导财政资金精准惠及基本养老服务优先保障对象。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b/>
          <w:bCs/>
          <w:color w:val="0C0C0C"/>
          <w:sz w:val="32"/>
          <w:szCs w:val="32"/>
          <w:lang w:eastAsia="zh-CN"/>
        </w:rPr>
        <w:t>扩大多元资本参与</w:t>
      </w:r>
      <w:r>
        <w:rPr>
          <w:rFonts w:hint="default" w:ascii="Times New Roman" w:hAnsi="Times New Roman" w:eastAsia="文星仿宋" w:cs="Times New Roman"/>
          <w:b/>
          <w:bCs/>
          <w:color w:val="0C0C0C"/>
          <w:sz w:val="32"/>
          <w:szCs w:val="32"/>
        </w:rPr>
        <w:t>。</w:t>
      </w:r>
      <w:r>
        <w:rPr>
          <w:rFonts w:hint="default" w:ascii="Times New Roman" w:hAnsi="Times New Roman" w:eastAsia="文星仿宋" w:cs="Times New Roman"/>
          <w:color w:val="0C0C0C"/>
          <w:sz w:val="32"/>
          <w:szCs w:val="32"/>
        </w:rPr>
        <w:t>鼓励国有资本、社会资本等通过多种方式参与养老产业发展，探索设立养老产业引导基金。</w:t>
      </w:r>
      <w:r>
        <w:rPr>
          <w:rFonts w:hint="default" w:ascii="Times New Roman" w:hAnsi="Times New Roman" w:eastAsia="文星仿宋" w:cs="Times New Roman"/>
          <w:color w:val="0C0C0C"/>
          <w:sz w:val="32"/>
          <w:szCs w:val="32"/>
          <w:lang w:eastAsia="zh-CN"/>
        </w:rPr>
        <w:t>鼓励</w:t>
      </w:r>
      <w:r>
        <w:rPr>
          <w:rFonts w:hint="default" w:ascii="Times New Roman" w:hAnsi="Times New Roman" w:eastAsia="文星仿宋" w:cs="Times New Roman"/>
          <w:color w:val="0C0C0C"/>
          <w:sz w:val="32"/>
          <w:szCs w:val="32"/>
        </w:rPr>
        <w:t>国有经济在养老服务领域的有效供给，加大国有经济对普惠养老服务发展的支持推动。鼓励有条件的金融机构开展养老领域金融业务、投资养老产业，聚焦长期护理服务商、综合康养服务</w:t>
      </w:r>
      <w:r>
        <w:rPr>
          <w:rFonts w:hint="default" w:ascii="Times New Roman" w:hAnsi="Times New Roman" w:eastAsia="文星仿宋" w:cs="Times New Roman"/>
          <w:color w:val="0C0C0C"/>
          <w:sz w:val="32"/>
          <w:szCs w:val="32"/>
          <w:lang w:eastAsia="zh-CN"/>
        </w:rPr>
        <w:t>商等，</w:t>
      </w:r>
      <w:r>
        <w:rPr>
          <w:rFonts w:hint="default" w:ascii="Times New Roman" w:hAnsi="Times New Roman" w:eastAsia="文星仿宋" w:cs="Times New Roman"/>
          <w:color w:val="0C0C0C"/>
          <w:sz w:val="32"/>
          <w:szCs w:val="32"/>
        </w:rPr>
        <w:t>创新养老金融产品和服务方式。鼓励社会资本通过建立基金、发行企业债券等方式筹集资金，用于购置、建设和改造养老服务设施。引导征信机构</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信用评级机构面向养老服务业开展征信</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评级服务</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鼓励银行与征信机构</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信用评级机构合作</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实施对养老服务机构的分类扶持</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鼓励通过慈善捐赠等方式增强养老服务资金保障能力</w:t>
      </w:r>
      <w:r>
        <w:rPr>
          <w:rFonts w:hint="default" w:ascii="Times New Roman" w:hAnsi="Times New Roman" w:eastAsia="文星仿宋" w:cs="Times New Roman"/>
          <w:color w:val="0C0C0C"/>
          <w:sz w:val="32"/>
          <w:szCs w:val="32"/>
          <w:lang w:eastAsia="zh-CN"/>
        </w:rPr>
        <w:t>。</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32" w:name="_Toc2596"/>
      <w:bookmarkStart w:id="133" w:name="_Toc2000"/>
      <w:bookmarkStart w:id="134" w:name="_Toc24031"/>
      <w:bookmarkStart w:id="135" w:name="_Toc22036"/>
      <w:bookmarkStart w:id="136" w:name="_Toc27197"/>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提高科技应用水平</w:t>
      </w:r>
      <w:bookmarkEnd w:id="132"/>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color w:val="0C0C0C"/>
          <w:sz w:val="32"/>
          <w:szCs w:val="32"/>
        </w:rPr>
        <w:t>加强区块链、人工智能、物联网、云计算、大数据等新一代技术和智能产品在养老领域的深度应用，大力推广和使用居家养老信息化服务平台，依托省市一体化政务大数据中心建立健全覆盖本辖区内居家老年人的信息库</w:t>
      </w:r>
      <w:r>
        <w:rPr>
          <w:rFonts w:hint="default" w:ascii="Times New Roman" w:hAnsi="Times New Roman" w:eastAsia="文星仿宋" w:cs="Times New Roman"/>
          <w:color w:val="0C0C0C"/>
          <w:sz w:val="32"/>
          <w:szCs w:val="32"/>
          <w:lang w:eastAsia="zh-CN"/>
        </w:rPr>
        <w:t>。支持社会力量运用信息化、智能化手段创新养老服务模式，开发和推广居家社区养老服务智能终端产品和应用，为居家老年人提供紧急呼叫、无线定位、安全监测、线上学习、家政预约、物品代购、费用代缴、服务转介等“菜单式”便捷服务。依托“粤省事”等平台优化线上服务模式，加强老年人身份证信息归集和数据打通，推行身份证实体卡“一证通行”服务模式。充分发挥解决老年人运用智能技术困难部门间联席会议制度作用，增强老年人在社会生活中的“科技获得感”。</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37" w:name="_Toc8564"/>
      <w:bookmarkStart w:id="138" w:name="_Toc5094"/>
      <w:bookmarkStart w:id="139" w:name="_Toc10480"/>
      <w:bookmarkStart w:id="140" w:name="_Toc27588"/>
      <w:bookmarkStart w:id="141" w:name="_Toc27950"/>
      <w:r>
        <w:rPr>
          <w:rFonts w:hint="default" w:ascii="Times New Roman" w:hAnsi="Times New Roman" w:eastAsia="文星楷体" w:cs="Times New Roman"/>
          <w:b w:val="0"/>
          <w:bCs/>
          <w:color w:val="0C0C0C"/>
          <w:sz w:val="32"/>
          <w:szCs w:val="20"/>
          <w:lang w:eastAsia="zh-CN"/>
        </w:rPr>
        <w:t>第四节</w:t>
      </w:r>
      <w:r>
        <w:rPr>
          <w:rFonts w:hint="default" w:ascii="Times New Roman" w:hAnsi="Times New Roman" w:eastAsia="文星楷体" w:cs="Times New Roman"/>
          <w:b w:val="0"/>
          <w:bCs/>
          <w:color w:val="0C0C0C"/>
          <w:sz w:val="32"/>
          <w:szCs w:val="20"/>
          <w:lang w:val="en-US" w:eastAsia="zh-CN"/>
        </w:rPr>
        <w:t xml:space="preserve"> 增强应急保障能力</w:t>
      </w:r>
      <w:bookmarkEnd w:id="137"/>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依托公办养老机构主体作用，建立健全</w:t>
      </w:r>
      <w:r>
        <w:rPr>
          <w:rFonts w:hint="default" w:ascii="Times New Roman" w:hAnsi="Times New Roman" w:eastAsia="文星仿宋" w:cs="Times New Roman"/>
          <w:color w:val="0C0C0C"/>
          <w:sz w:val="32"/>
          <w:szCs w:val="32"/>
          <w:lang w:eastAsia="zh-CN"/>
        </w:rPr>
        <w:t>全县</w:t>
      </w:r>
      <w:r>
        <w:rPr>
          <w:rFonts w:hint="default" w:ascii="Times New Roman" w:hAnsi="Times New Roman" w:eastAsia="文星仿宋" w:cs="Times New Roman"/>
          <w:color w:val="0C0C0C"/>
          <w:sz w:val="32"/>
          <w:szCs w:val="32"/>
        </w:rPr>
        <w:t>养老服务突发事件应急管理机制</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着力增强养老服务机构安全风险防范意识和突发事件（尤其是传染性突发公共卫生事件）的应急处置能力，配备必要的应急设施设备和物资储备，开展必要的应急知识培训、演练和宣传活动。结合新冠肺炎疫情防控经验，完善系统规范的突发事件应急管理程序和分级分类的安全风险监测预警机制，强化传染性突发公共卫生事件的预防控制、应急处置、救援支援的快速响应，全面提升养老服务领域突发事件监测预警、应急处置、救援支援、恢复重建等应急管理能力。</w:t>
      </w:r>
    </w:p>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142" w:name="_Toc11179"/>
      <w:bookmarkStart w:id="143" w:name="_Toc24545"/>
      <w:bookmarkStart w:id="144" w:name="_Toc28765"/>
      <w:bookmarkStart w:id="145" w:name="_Toc27818"/>
      <w:bookmarkStart w:id="146" w:name="_Toc12769"/>
    </w:p>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四</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w:t>
      </w:r>
      <w:r>
        <w:rPr>
          <w:rFonts w:hint="default" w:ascii="Times New Roman" w:hAnsi="Times New Roman" w:eastAsia="文星标宋" w:cs="Times New Roman"/>
          <w:b w:val="0"/>
          <w:bCs/>
          <w:color w:val="0C0C0C"/>
          <w:sz w:val="36"/>
          <w:szCs w:val="21"/>
        </w:rPr>
        <w:t>加强养老服务人才队伍建设</w:t>
      </w:r>
      <w:bookmarkEnd w:id="142"/>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lang w:eastAsia="zh-CN"/>
        </w:rPr>
      </w:pPr>
      <w:bookmarkStart w:id="147" w:name="_Toc29265"/>
      <w:bookmarkStart w:id="148" w:name="_Toc4331"/>
      <w:bookmarkStart w:id="149" w:name="_Toc3711"/>
      <w:bookmarkStart w:id="150" w:name="_Toc19759"/>
      <w:bookmarkStart w:id="151" w:name="_Toc19733"/>
      <w:bookmarkStart w:id="152" w:name="_Toc19112"/>
      <w:bookmarkStart w:id="153" w:name="_Toc11658"/>
      <w:bookmarkStart w:id="154" w:name="_Toc22370"/>
      <w:r>
        <w:rPr>
          <w:rFonts w:hint="default" w:ascii="Times New Roman" w:hAnsi="Times New Roman" w:eastAsia="文星仿宋" w:cs="Times New Roman"/>
          <w:color w:val="0C0C0C"/>
          <w:sz w:val="32"/>
          <w:szCs w:val="32"/>
        </w:rPr>
        <w:t>推进人力资源开发</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加强多层次养老服务人才培养</w:t>
      </w:r>
      <w:r>
        <w:rPr>
          <w:rFonts w:hint="default" w:ascii="Times New Roman" w:hAnsi="Times New Roman" w:eastAsia="文星仿宋" w:cs="Times New Roman"/>
          <w:color w:val="0C0C0C"/>
          <w:sz w:val="32"/>
          <w:szCs w:val="32"/>
          <w:lang w:eastAsia="zh-CN"/>
        </w:rPr>
        <w:t>，完善专业人才培养激励机制，</w:t>
      </w:r>
      <w:r>
        <w:rPr>
          <w:rFonts w:hint="default" w:ascii="Times New Roman" w:hAnsi="Times New Roman" w:eastAsia="文星仿宋" w:cs="Times New Roman"/>
          <w:color w:val="0C0C0C"/>
          <w:sz w:val="32"/>
          <w:szCs w:val="32"/>
        </w:rPr>
        <w:t>推动“社工+志愿者”联动为老服务</w:t>
      </w:r>
      <w:r>
        <w:rPr>
          <w:rFonts w:hint="default" w:ascii="Times New Roman" w:hAnsi="Times New Roman" w:eastAsia="文星仿宋" w:cs="Times New Roman"/>
          <w:color w:val="0C0C0C"/>
          <w:sz w:val="32"/>
          <w:szCs w:val="32"/>
          <w:lang w:eastAsia="zh-CN"/>
        </w:rPr>
        <w:t>。</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55" w:name="_Toc23934"/>
      <w:bookmarkStart w:id="156" w:name="_Toc12624"/>
      <w:bookmarkStart w:id="157" w:name="_Toc8438"/>
      <w:bookmarkStart w:id="158" w:name="_Toc19262"/>
      <w:bookmarkStart w:id="159" w:name="_Toc28536"/>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提升从业人员职业化专业化水平</w:t>
      </w:r>
      <w:bookmarkEnd w:id="155"/>
      <w:bookmarkEnd w:id="156"/>
      <w:bookmarkEnd w:id="157"/>
      <w:bookmarkEnd w:id="158"/>
      <w:bookmarkEnd w:id="159"/>
    </w:p>
    <w:bookmarkEnd w:id="147"/>
    <w:bookmarkEnd w:id="148"/>
    <w:bookmarkEnd w:id="149"/>
    <w:bookmarkEnd w:id="150"/>
    <w:bookmarkEnd w:id="151"/>
    <w:bookmarkEnd w:id="152"/>
    <w:bookmarkEnd w:id="153"/>
    <w:bookmarkEnd w:id="154"/>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color w:val="0C0C0C"/>
          <w:sz w:val="32"/>
          <w:szCs w:val="32"/>
        </w:rPr>
        <w:t>鼓励各类院校开设养老服务相关专业，通过定向培养等方式吸引学生就读</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支持符合条件的养老机构举办养老服务类职业院校，通过“职业培训包”和“工学一体化”培训模式促进专业教育与实践应用相结合</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推动产教融合型养老服务企业建设</w:t>
      </w:r>
      <w:r>
        <w:rPr>
          <w:rFonts w:hint="default" w:ascii="Times New Roman" w:hAnsi="Times New Roman" w:eastAsia="文星仿宋" w:cs="Times New Roman"/>
          <w:color w:val="0C0C0C"/>
          <w:sz w:val="32"/>
          <w:szCs w:val="32"/>
          <w:lang w:eastAsia="zh-CN"/>
        </w:rPr>
        <w:t>。探索养老服务业职业经理人机制，促进经营管理职业化、专业化。</w:t>
      </w:r>
      <w:r>
        <w:rPr>
          <w:rFonts w:hint="default" w:ascii="Times New Roman" w:hAnsi="Times New Roman" w:eastAsia="文星仿宋" w:cs="Times New Roman"/>
          <w:color w:val="0C0C0C"/>
          <w:sz w:val="32"/>
          <w:szCs w:val="32"/>
        </w:rPr>
        <w:t>积极参与实施“南粤家政”养老护理员培训项目，扩大居家养老日常护理技能培训规模。</w:t>
      </w:r>
      <w:r>
        <w:rPr>
          <w:rFonts w:hint="default" w:ascii="Times New Roman" w:hAnsi="Times New Roman" w:eastAsia="文星仿宋" w:cs="Times New Roman"/>
          <w:color w:val="0C0C0C"/>
          <w:sz w:val="32"/>
          <w:szCs w:val="32"/>
          <w:lang w:eastAsia="zh-CN"/>
        </w:rPr>
        <w:t>积极参与养老护理员培训示范点建设，</w:t>
      </w:r>
      <w:r>
        <w:rPr>
          <w:rFonts w:hint="default" w:ascii="Times New Roman" w:hAnsi="Times New Roman" w:eastAsia="文星仿宋" w:cs="Times New Roman"/>
          <w:color w:val="0C0C0C"/>
          <w:sz w:val="32"/>
          <w:szCs w:val="32"/>
        </w:rPr>
        <w:t>争取成为国家级（康养）高技能人才培训基地</w:t>
      </w:r>
      <w:r>
        <w:rPr>
          <w:rFonts w:hint="default" w:ascii="Times New Roman" w:hAnsi="Times New Roman" w:eastAsia="文星仿宋" w:cs="Times New Roman"/>
          <w:color w:val="0C0C0C"/>
          <w:sz w:val="32"/>
          <w:szCs w:val="32"/>
          <w:lang w:eastAsia="zh-CN"/>
        </w:rPr>
        <w:t>。</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60" w:name="_Toc10382"/>
      <w:bookmarkStart w:id="161" w:name="_Toc14121"/>
      <w:bookmarkStart w:id="162" w:name="_Toc9038"/>
      <w:bookmarkStart w:id="163" w:name="_Toc1575"/>
      <w:bookmarkStart w:id="164" w:name="_Toc6804"/>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完善专业人才培养激励机制</w:t>
      </w:r>
      <w:bookmarkEnd w:id="160"/>
      <w:bookmarkEnd w:id="161"/>
      <w:bookmarkEnd w:id="162"/>
      <w:bookmarkEnd w:id="163"/>
      <w:bookmarkEnd w:id="164"/>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畅通养老服务从业人员职业技能发展通道、拓宽职业发展空间，建立健全以品德、能力和业绩为导向的康养服务人员职业技能评价制度。完善与职业技能等级配套的薪酬激励机制，建立养老护理员薪酬待遇、护理服务价格与职业技能等级挂钩制度，推动职业技能等级与工资收入、福利待遇、岗位晋升、服务价格等同步提升。对在养老机构举办的医疗机构中工作的医务人员</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可参照执行基层医务人员相关激励政策</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大力开展康养服务人员职业技能竞赛，按照有关规定对获奖选手予以奖励，并晋升相应的职业技能等级。加大养老服务人才政策扶持，在居住落户、住房保障、子女入学等方面给予优惠政策，逐步增强养老服务人员的职业吸引力。建立健全专业社会工作人才引入机制，吸引专业社会工作者和高等院校社会工作专业毕业生从事养老服务工作。符合条件的失能老年人家庭成员参加照护知识等相关职业技能培训的，按规定给予职业培训补贴</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广泛开展养老护理员关爱活动，加强对养老护理员先进事迹与奉献精神的宣传报道，做好培训计划和从业人员待遇政策解读服务，不断增强养老护理员的职业荣誉感和岗位吸引力。</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65" w:name="_Toc6930"/>
      <w:bookmarkStart w:id="166" w:name="_Toc32561"/>
      <w:bookmarkStart w:id="167" w:name="_Toc17304"/>
      <w:bookmarkStart w:id="168" w:name="_Toc6346"/>
      <w:bookmarkStart w:id="169" w:name="_Toc498"/>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促进养老服务行业就业创业</w:t>
      </w:r>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结合政府购买基层公共管理和社会服务，注重在乡镇、社区（村）等基层一线开发为老服务岗位，优先吸纳城镇就业困难人员、农村转移劳动力和应届高校毕业生就业，鼓励省内外、国内外各类专业人才积极投身养老服务业。对招用就业困难人员并依法缴纳社会保险费的养老服务组织，按照规定给予岗位补贴、社会保险补贴等支持；对自主创办养老服务企业的就业困难人员以及在校和毕业五年内的普通本科高校、职业院校（含技工院校）学生，可给予一次性创业资助。对在养老服务组织连续从事康复护理等养老服务工作达到规定年限的普通本科高校、职业院校（含技工院校）毕业生，可给予</w:t>
      </w:r>
      <w:r>
        <w:rPr>
          <w:rFonts w:hint="default" w:ascii="Times New Roman" w:hAnsi="Times New Roman" w:eastAsia="文星仿宋" w:cs="Times New Roman"/>
          <w:color w:val="0C0C0C"/>
          <w:sz w:val="32"/>
          <w:szCs w:val="32"/>
          <w:lang w:eastAsia="zh-CN"/>
        </w:rPr>
        <w:t>一次性</w:t>
      </w:r>
      <w:r>
        <w:rPr>
          <w:rFonts w:hint="default" w:ascii="Times New Roman" w:hAnsi="Times New Roman" w:eastAsia="文星仿宋" w:cs="Times New Roman"/>
          <w:color w:val="0C0C0C"/>
          <w:sz w:val="32"/>
          <w:szCs w:val="32"/>
        </w:rPr>
        <w:t>入职奖励或者补贴。</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70" w:name="_Toc29050"/>
      <w:bookmarkStart w:id="171" w:name="_Toc16608"/>
      <w:bookmarkStart w:id="172" w:name="_Toc21130"/>
      <w:bookmarkStart w:id="173" w:name="_Toc1325"/>
      <w:bookmarkStart w:id="174" w:name="_Toc14325"/>
      <w:r>
        <w:rPr>
          <w:rFonts w:hint="default" w:ascii="Times New Roman" w:hAnsi="Times New Roman" w:eastAsia="文星楷体" w:cs="Times New Roman"/>
          <w:b w:val="0"/>
          <w:bCs/>
          <w:color w:val="0C0C0C"/>
          <w:sz w:val="32"/>
          <w:szCs w:val="20"/>
          <w:lang w:eastAsia="zh-CN"/>
        </w:rPr>
        <w:t>第四节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推动“社工+志愿者”联动为老服务</w:t>
      </w:r>
      <w:bookmarkEnd w:id="170"/>
      <w:bookmarkEnd w:id="171"/>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培养老年社会工作者队伍，在养老服务机构中开发设置社会工作者岗位，为老年人提供精神慰藉、心理疏导、照料支持和生活陪伴等多样化、专业化养老服务。推进养老领域志愿服务工作发展，采取政府购买志愿服务组织服务等方式，积极扶持培育各类为老志愿服务组织，支持引导志愿服务组织、慈善组织承接和运营为老志愿服务项目</w:t>
      </w:r>
      <w:r>
        <w:rPr>
          <w:rFonts w:hint="default" w:ascii="Times New Roman" w:hAnsi="Times New Roman" w:eastAsia="文星仿宋" w:cs="Times New Roman"/>
          <w:color w:val="0C0C0C"/>
          <w:sz w:val="32"/>
          <w:szCs w:val="32"/>
          <w:lang w:eastAsia="zh-CN"/>
        </w:rPr>
        <w:t>。积极参与</w:t>
      </w:r>
      <w:r>
        <w:rPr>
          <w:rFonts w:hint="default" w:ascii="Times New Roman" w:hAnsi="Times New Roman" w:eastAsia="文星仿宋" w:cs="Times New Roman"/>
          <w:color w:val="0C0C0C"/>
          <w:sz w:val="32"/>
          <w:szCs w:val="32"/>
        </w:rPr>
        <w:t>广东志愿者守信联合激励计划，推动</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时间储蓄制度</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模式应用于为老志愿服务实践，鼓励探索利用</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区块链</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等新兴技术建立为老志愿服务的储蓄与回馈等正向激励机制。充分发挥乡镇、村（居）社会工作服务站（点）作用，推动老年社会工作者、为老服务志愿者等联动为老服务。组织发动基层党员干部对农村留守等特殊困难老年人定期巡访、结对帮扶。鼓励支持邻里互助、亲友相助等互助养老模式。</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C0C0C"/>
        </w:rPr>
      </w:pPr>
    </w:p>
    <w:tbl>
      <w:tblPr>
        <w:tblStyle w:val="9"/>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3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3"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default" w:ascii="Times New Roman" w:hAnsi="Times New Roman" w:eastAsia="文星黑体" w:cs="Times New Roman"/>
                <w:b w:val="0"/>
                <w:bCs w:val="0"/>
                <w:color w:val="0C0C0C"/>
                <w:sz w:val="32"/>
                <w:szCs w:val="32"/>
              </w:rPr>
            </w:pPr>
            <w:r>
              <w:rPr>
                <w:rFonts w:hint="default" w:ascii="Times New Roman" w:hAnsi="Times New Roman" w:eastAsia="文星黑体" w:cs="Times New Roman"/>
                <w:b w:val="0"/>
                <w:bCs w:val="0"/>
                <w:color w:val="0C0C0C"/>
                <w:sz w:val="32"/>
                <w:szCs w:val="32"/>
              </w:rPr>
              <w:t>专栏</w:t>
            </w:r>
            <w:r>
              <w:rPr>
                <w:rFonts w:hint="default" w:ascii="Times New Roman" w:hAnsi="Times New Roman" w:eastAsia="文星黑体" w:cs="Times New Roman"/>
                <w:b w:val="0"/>
                <w:bCs w:val="0"/>
                <w:color w:val="0C0C0C"/>
                <w:sz w:val="32"/>
                <w:szCs w:val="32"/>
                <w:lang w:val="en-US" w:eastAsia="zh-CN"/>
              </w:rPr>
              <w:t>5</w:t>
            </w:r>
            <w:r>
              <w:rPr>
                <w:rFonts w:hint="default" w:ascii="Times New Roman" w:hAnsi="Times New Roman" w:eastAsia="文星黑体" w:cs="Times New Roman"/>
                <w:b w:val="0"/>
                <w:bCs w:val="0"/>
                <w:color w:val="0C0C0C"/>
                <w:sz w:val="32"/>
                <w:szCs w:val="32"/>
                <w:lang w:eastAsia="zh-CN"/>
              </w:rPr>
              <w:t>：</w:t>
            </w:r>
            <w:r>
              <w:rPr>
                <w:rFonts w:hint="default" w:ascii="Times New Roman" w:hAnsi="Times New Roman" w:eastAsia="文星黑体" w:cs="Times New Roman"/>
                <w:b w:val="0"/>
                <w:bCs w:val="0"/>
                <w:color w:val="0C0C0C"/>
                <w:sz w:val="32"/>
                <w:szCs w:val="32"/>
              </w:rPr>
              <w:t>实施康养职业技能培训计划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35" w:hRule="atLeast"/>
          <w:jc w:val="center"/>
        </w:trPr>
        <w:tc>
          <w:tcPr>
            <w:tcW w:w="8390" w:type="dxa"/>
            <w:tcMar>
              <w:top w:w="28" w:type="dxa"/>
              <w:left w:w="57" w:type="dxa"/>
              <w:bottom w:w="28" w:type="dxa"/>
              <w:right w:w="57"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1.实施康养职业技能培训计划。各</w:t>
            </w:r>
            <w:r>
              <w:rPr>
                <w:rFonts w:hint="default" w:ascii="Times New Roman" w:hAnsi="Times New Roman" w:eastAsia="文星仿宋" w:cs="Times New Roman"/>
                <w:color w:val="0C0C0C"/>
                <w:sz w:val="28"/>
                <w:szCs w:val="36"/>
                <w:lang w:eastAsia="zh-CN"/>
              </w:rPr>
              <w:t>乡镇</w:t>
            </w:r>
            <w:r>
              <w:rPr>
                <w:rFonts w:hint="default" w:ascii="Times New Roman" w:hAnsi="Times New Roman" w:eastAsia="文星仿宋" w:cs="Times New Roman"/>
                <w:color w:val="0C0C0C"/>
                <w:sz w:val="28"/>
                <w:szCs w:val="36"/>
              </w:rPr>
              <w:t>、</w:t>
            </w:r>
            <w:r>
              <w:rPr>
                <w:rFonts w:hint="default" w:ascii="Times New Roman" w:hAnsi="Times New Roman" w:eastAsia="文星仿宋" w:cs="Times New Roman"/>
                <w:color w:val="0C0C0C"/>
                <w:sz w:val="28"/>
                <w:szCs w:val="36"/>
                <w:lang w:eastAsia="zh-CN"/>
              </w:rPr>
              <w:t>各</w:t>
            </w:r>
            <w:r>
              <w:rPr>
                <w:rFonts w:hint="default" w:ascii="Times New Roman" w:hAnsi="Times New Roman" w:eastAsia="文星仿宋" w:cs="Times New Roman"/>
                <w:color w:val="0C0C0C"/>
                <w:sz w:val="28"/>
                <w:szCs w:val="36"/>
              </w:rPr>
              <w:t>有关部门要将康养职业技能培训计划作为重要民生工程，纳入职业技能提升行动同步部署落实和同步督导考核。养老护理员要作为急需紧缺职业（工种）纳入职业技能提升行动“两目录一系统”，并按规定落实好各项补贴政策。加快培养数量充足、素质优良、技能高超、服务优质的康养服务技能人才队伍。</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2.扩大养老护理服务从业人员培训规模。全面推行养老护理服务从业人员就业上岗前培训、岗位技能提升培训、转岗专业培训和创业培训，积极面向有意愿从事养老护理服务的各类人员开展培养培训。到2025年，全</w:t>
            </w:r>
            <w:r>
              <w:rPr>
                <w:rFonts w:hint="default" w:ascii="Times New Roman" w:hAnsi="Times New Roman" w:eastAsia="文星仿宋" w:cs="Times New Roman"/>
                <w:color w:val="0C0C0C"/>
                <w:sz w:val="28"/>
                <w:szCs w:val="36"/>
                <w:lang w:eastAsia="zh-CN"/>
              </w:rPr>
              <w:t>县</w:t>
            </w:r>
            <w:r>
              <w:rPr>
                <w:rFonts w:hint="default" w:ascii="Times New Roman" w:hAnsi="Times New Roman" w:eastAsia="文星仿宋" w:cs="Times New Roman"/>
                <w:color w:val="0C0C0C"/>
                <w:sz w:val="28"/>
                <w:szCs w:val="36"/>
              </w:rPr>
              <w:t>养老机构院长和养老护理人员培训上岗率均达到100%，养老护理服务从业人员职业素质和工作质量整体提升。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文星仿宋" w:cs="Times New Roman"/>
                <w:color w:val="0C0C0C"/>
                <w:sz w:val="28"/>
                <w:szCs w:val="36"/>
              </w:rPr>
            </w:pPr>
            <w:r>
              <w:rPr>
                <w:rFonts w:hint="default" w:ascii="Times New Roman" w:hAnsi="Times New Roman" w:eastAsia="文星仿宋" w:cs="Times New Roman"/>
                <w:color w:val="0C0C0C"/>
                <w:sz w:val="28"/>
                <w:szCs w:val="36"/>
              </w:rPr>
              <w:t>3.强化实际操作技能训练和综合职业素养培养。重点加强失能失智人员照护、老年人照护、康复护理服务、饮食起居照料、意外伤害预防与处理等方面的岗位技能培训，将法律知识、职业道德、从业规范、安全意识、卫生健康、应急处置等要求和心理学、营养学等内容贯穿培训全过程。</w:t>
            </w:r>
          </w:p>
        </w:tc>
      </w:tr>
    </w:tbl>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175" w:name="_Toc28025"/>
      <w:bookmarkStart w:id="176" w:name="_Toc17781"/>
      <w:bookmarkStart w:id="177" w:name="_Toc955"/>
      <w:bookmarkStart w:id="178" w:name="_Toc31489"/>
      <w:bookmarkStart w:id="179" w:name="_Toc15977"/>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五</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w:t>
      </w:r>
      <w:r>
        <w:rPr>
          <w:rFonts w:hint="default" w:ascii="Times New Roman" w:hAnsi="Times New Roman" w:eastAsia="文星标宋" w:cs="Times New Roman"/>
          <w:b w:val="0"/>
          <w:bCs/>
          <w:color w:val="0C0C0C"/>
          <w:sz w:val="36"/>
          <w:szCs w:val="21"/>
        </w:rPr>
        <w:t>建立健全老年人关爱服务体系</w:t>
      </w:r>
      <w:bookmarkEnd w:id="175"/>
      <w:bookmarkEnd w:id="176"/>
      <w:bookmarkEnd w:id="177"/>
      <w:bookmarkEnd w:id="178"/>
      <w:bookmarkEnd w:id="179"/>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val="0"/>
          <w:bCs w:val="0"/>
          <w:color w:val="0C0C0C"/>
          <w:sz w:val="32"/>
          <w:szCs w:val="32"/>
        </w:rPr>
        <w:t>弘扬敬老养老助老社会风尚，加强特殊困难老年人关爱，健全老年人权益保障机制</w:t>
      </w:r>
      <w:r>
        <w:rPr>
          <w:rFonts w:hint="default" w:ascii="Times New Roman" w:hAnsi="Times New Roman" w:eastAsia="文星仿宋" w:cs="Times New Roman"/>
          <w:b w:val="0"/>
          <w:bCs w:val="0"/>
          <w:color w:val="0C0C0C"/>
          <w:sz w:val="32"/>
          <w:szCs w:val="32"/>
          <w:lang w:eastAsia="zh-CN"/>
        </w:rPr>
        <w:t>。</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80" w:name="_Toc2165"/>
      <w:bookmarkStart w:id="181" w:name="_Toc4484"/>
      <w:bookmarkStart w:id="182" w:name="_Toc8364"/>
      <w:bookmarkStart w:id="183" w:name="_Toc9513"/>
      <w:bookmarkStart w:id="184" w:name="_Toc135"/>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弘扬敬老养老助老社会风尚</w:t>
      </w:r>
      <w:bookmarkEnd w:id="180"/>
      <w:bookmarkEnd w:id="181"/>
      <w:bookmarkEnd w:id="182"/>
      <w:bookmarkEnd w:id="183"/>
      <w:bookmarkEnd w:id="184"/>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广泛开展人口老龄化国情教育</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将敬老孝老助老纳入社会公德、职业道德、家庭美德和个人品德建设，纳入文明家庭创建等群众性精神文明创建内容，夯实家庭养老基础地位</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发挥家庭养老基础作用。积极利用春节、清明节、中秋节、重阳节等传统节日以及“老年节”“敬老月”等重要时间节点开展孝老敬老爱老等家庭文明建设活动、组织开展老年人身心健康活动、普遍开展养老服务公益宣传教育活动，推动敬老养老助老社会风尚进学校、进家庭、进机关、进社区。推进非本地户籍常住老年人与本地户籍老年人同等享受优待。</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85" w:name="_Toc15534"/>
      <w:bookmarkStart w:id="186" w:name="_Toc15134"/>
      <w:bookmarkStart w:id="187" w:name="_Toc5628"/>
      <w:bookmarkStart w:id="188" w:name="_Toc3652"/>
      <w:bookmarkStart w:id="189" w:name="_Toc30713"/>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加强特殊困难老年人关爱</w:t>
      </w:r>
      <w:bookmarkEnd w:id="185"/>
      <w:bookmarkEnd w:id="186"/>
      <w:bookmarkEnd w:id="187"/>
      <w:bookmarkEnd w:id="188"/>
      <w:bookmarkEnd w:id="189"/>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依托“广东兜底民生服务社会工作双百工程”</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定期开展居家社区老年人探访活动，重视防范和及时发现意外风险，重点关注空巢、留守、失能、重残、计划生育特殊家庭等特殊困难老年人。探索通过政府购买服务的方式，支持有资质的社会组织接受计划生育特殊家庭、孤寡、残疾等特殊老年人委托，依法代为办理入住养老机构、就医等事务。</w:t>
      </w:r>
      <w:r>
        <w:rPr>
          <w:rFonts w:hint="default" w:ascii="Times New Roman" w:hAnsi="Times New Roman" w:eastAsia="文星仿宋" w:cs="Times New Roman"/>
          <w:color w:val="0C0C0C"/>
          <w:sz w:val="32"/>
          <w:szCs w:val="32"/>
          <w:lang w:eastAsia="zh-CN"/>
        </w:rPr>
        <w:t>加强</w:t>
      </w:r>
      <w:r>
        <w:rPr>
          <w:rFonts w:hint="default" w:ascii="Times New Roman" w:hAnsi="Times New Roman" w:eastAsia="文星仿宋" w:cs="Times New Roman"/>
          <w:color w:val="0C0C0C"/>
          <w:sz w:val="32"/>
          <w:szCs w:val="32"/>
        </w:rPr>
        <w:t>农村留守老年人关爱服务，健全农村留守老年人信息数据库。促进社会力量广泛参与留守老年人关爱服务，通过向社会公开募捐等方式筹集善款对农村留守老年人进行关爱帮扶。</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90" w:name="_Toc1602"/>
      <w:bookmarkStart w:id="191" w:name="_Toc7315"/>
      <w:bookmarkStart w:id="192" w:name="_Toc28035"/>
      <w:bookmarkStart w:id="193" w:name="_Toc26001"/>
      <w:bookmarkStart w:id="194" w:name="_Toc23196"/>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增强老年人权益保障</w:t>
      </w:r>
      <w:bookmarkEnd w:id="190"/>
      <w:bookmarkEnd w:id="191"/>
      <w:bookmarkEnd w:id="192"/>
      <w:bookmarkEnd w:id="193"/>
      <w:bookmarkEnd w:id="194"/>
    </w:p>
    <w:p>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baseline"/>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持续加强养老服务领域非法集资排查整治与监测预警。开展老年人产品和服务消费领域侵权行为专项整治，严厉查处面向老年人的假冒伪劣商品制售、产品服务欺诈销售等违法行为。广泛开展老年人识骗防骗宣传教育活动，提升老年人抵御欺诈销售意识。完善市场退出机制，指导养老服务机构在退出市场时妥善做好老年人的服务协议解除、安置等工作。建立健全养老服务领域纠纷协商调解机制，引导老年人及其代理人依法维权。加强老年人法律服务和法律援助，重点做好特殊困难老年人群体的法律服务、法律援助和司法救助。</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195" w:name="_Toc25863"/>
      <w:bookmarkStart w:id="196" w:name="_Toc10171"/>
      <w:bookmarkStart w:id="197" w:name="_Toc21866"/>
      <w:bookmarkStart w:id="198" w:name="_Toc5736"/>
      <w:bookmarkStart w:id="199" w:name="_Toc11496"/>
      <w:r>
        <w:rPr>
          <w:rFonts w:hint="default" w:ascii="Times New Roman" w:hAnsi="Times New Roman" w:eastAsia="文星楷体" w:cs="Times New Roman"/>
          <w:b w:val="0"/>
          <w:bCs/>
          <w:color w:val="0C0C0C"/>
          <w:sz w:val="32"/>
          <w:szCs w:val="20"/>
          <w:lang w:eastAsia="zh-CN"/>
        </w:rPr>
        <w:t>第四节</w:t>
      </w:r>
      <w:r>
        <w:rPr>
          <w:rFonts w:hint="default" w:ascii="Times New Roman" w:hAnsi="Times New Roman" w:eastAsia="文星楷体" w:cs="Times New Roman"/>
          <w:b w:val="0"/>
          <w:bCs/>
          <w:color w:val="0C0C0C"/>
          <w:sz w:val="32"/>
          <w:szCs w:val="20"/>
          <w:lang w:val="en-US" w:eastAsia="zh-CN"/>
        </w:rPr>
        <w:t xml:space="preserve"> 扩大老年人社会参与</w:t>
      </w:r>
      <w:bookmarkEnd w:id="195"/>
      <w:bookmarkEnd w:id="196"/>
      <w:bookmarkEnd w:id="197"/>
      <w:bookmarkEnd w:id="198"/>
      <w:bookmarkEnd w:id="199"/>
    </w:p>
    <w:p>
      <w:pPr>
        <w:pStyle w:val="2"/>
        <w:pageBreakBefore w:val="0"/>
        <w:widowControl w:val="0"/>
        <w:kinsoku/>
        <w:wordWrap/>
        <w:overflowPunct/>
        <w:topLinePunct w:val="0"/>
        <w:autoSpaceDE/>
        <w:autoSpaceDN/>
        <w:bidi w:val="0"/>
        <w:snapToGrid/>
        <w:spacing w:line="600" w:lineRule="exact"/>
        <w:ind w:firstLine="641"/>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积极开发老龄人力资源，倡导“终身发展，老有所为”的积极老龄化思想观念，培育</w:t>
      </w:r>
      <w:r>
        <w:rPr>
          <w:rFonts w:hint="default" w:ascii="Times New Roman" w:hAnsi="Times New Roman" w:eastAsia="文星仿宋" w:cs="Times New Roman"/>
          <w:color w:val="0C0C0C"/>
          <w:sz w:val="32"/>
          <w:szCs w:val="32"/>
          <w:lang w:eastAsia="zh-CN"/>
        </w:rPr>
        <w:t>发展</w:t>
      </w:r>
      <w:r>
        <w:rPr>
          <w:rFonts w:hint="default" w:ascii="Times New Roman" w:hAnsi="Times New Roman" w:eastAsia="文星仿宋" w:cs="Times New Roman"/>
          <w:color w:val="0C0C0C"/>
          <w:sz w:val="32"/>
          <w:szCs w:val="32"/>
        </w:rPr>
        <w:t>老年人组织和为老服务社会组织，引导和</w:t>
      </w:r>
      <w:r>
        <w:rPr>
          <w:rFonts w:hint="default" w:ascii="Times New Roman" w:hAnsi="Times New Roman" w:eastAsia="文星仿宋" w:cs="Times New Roman"/>
          <w:color w:val="0C0C0C"/>
          <w:sz w:val="32"/>
          <w:szCs w:val="32"/>
          <w:lang w:eastAsia="zh-CN"/>
        </w:rPr>
        <w:t>支持</w:t>
      </w:r>
      <w:r>
        <w:rPr>
          <w:rFonts w:hint="default" w:ascii="Times New Roman" w:hAnsi="Times New Roman" w:eastAsia="文星仿宋" w:cs="Times New Roman"/>
          <w:color w:val="0C0C0C"/>
          <w:sz w:val="32"/>
          <w:szCs w:val="32"/>
        </w:rPr>
        <w:t>老年人参与</w:t>
      </w:r>
      <w:r>
        <w:rPr>
          <w:rFonts w:hint="default" w:ascii="Times New Roman" w:hAnsi="Times New Roman" w:eastAsia="文星仿宋" w:cs="Times New Roman"/>
          <w:color w:val="0C0C0C"/>
          <w:sz w:val="32"/>
          <w:szCs w:val="32"/>
          <w:lang w:eastAsia="zh-CN"/>
        </w:rPr>
        <w:t>家庭、</w:t>
      </w:r>
      <w:r>
        <w:rPr>
          <w:rFonts w:hint="default" w:ascii="Times New Roman" w:hAnsi="Times New Roman" w:eastAsia="文星仿宋" w:cs="Times New Roman"/>
          <w:color w:val="0C0C0C"/>
          <w:sz w:val="32"/>
          <w:szCs w:val="32"/>
        </w:rPr>
        <w:t>社区</w:t>
      </w:r>
      <w:r>
        <w:rPr>
          <w:rFonts w:hint="default" w:ascii="Times New Roman" w:hAnsi="Times New Roman" w:eastAsia="文星仿宋" w:cs="Times New Roman"/>
          <w:color w:val="0C0C0C"/>
          <w:sz w:val="32"/>
          <w:szCs w:val="32"/>
          <w:lang w:eastAsia="zh-CN"/>
        </w:rPr>
        <w:t>和社会发展</w:t>
      </w:r>
      <w:r>
        <w:rPr>
          <w:rFonts w:hint="default" w:ascii="Times New Roman" w:hAnsi="Times New Roman" w:eastAsia="文星仿宋" w:cs="Times New Roman"/>
          <w:color w:val="0C0C0C"/>
          <w:sz w:val="32"/>
          <w:szCs w:val="32"/>
        </w:rPr>
        <w:t>，参与社区公益慈善、教科文卫等事业，参与社区建设和管理，组织开展自助、互助和志愿活动。广泛开展老年人群体性文化、体育和娱乐活动，推进社区老年人健身康复中心建设</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开展</w:t>
      </w:r>
      <w:r>
        <w:rPr>
          <w:rFonts w:hint="default" w:ascii="Times New Roman" w:hAnsi="Times New Roman" w:eastAsia="文星仿宋" w:cs="Times New Roman"/>
          <w:color w:val="0C0C0C"/>
          <w:sz w:val="32"/>
          <w:szCs w:val="32"/>
          <w:lang w:eastAsia="zh-CN"/>
        </w:rPr>
        <w:t>高质量</w:t>
      </w:r>
      <w:r>
        <w:rPr>
          <w:rFonts w:hint="default" w:ascii="Times New Roman" w:hAnsi="Times New Roman" w:eastAsia="文星仿宋" w:cs="Times New Roman"/>
          <w:color w:val="0C0C0C"/>
          <w:sz w:val="32"/>
          <w:szCs w:val="32"/>
        </w:rPr>
        <w:t>老年教育，建立健全“县（市、区）—乡镇—村（居）委会”三级社区老年教育办学网络，鼓励各</w:t>
      </w:r>
      <w:r>
        <w:rPr>
          <w:rFonts w:hint="default" w:ascii="Times New Roman" w:hAnsi="Times New Roman" w:eastAsia="文星仿宋" w:cs="Times New Roman"/>
          <w:color w:val="0C0C0C"/>
          <w:sz w:val="32"/>
          <w:szCs w:val="32"/>
          <w:lang w:eastAsia="zh-CN"/>
        </w:rPr>
        <w:t>乡镇</w:t>
      </w:r>
      <w:r>
        <w:rPr>
          <w:rFonts w:hint="default" w:ascii="Times New Roman" w:hAnsi="Times New Roman" w:eastAsia="文星仿宋" w:cs="Times New Roman"/>
          <w:color w:val="0C0C0C"/>
          <w:sz w:val="32"/>
          <w:szCs w:val="32"/>
        </w:rPr>
        <w:t>和各类养老服务机构开办老年学校，丰富老年人精神文化生活。</w:t>
      </w:r>
    </w:p>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200" w:name="_Toc18742"/>
      <w:bookmarkStart w:id="201" w:name="_Toc5686"/>
      <w:bookmarkStart w:id="202" w:name="_Toc13247"/>
      <w:bookmarkStart w:id="203" w:name="_Toc28242"/>
      <w:bookmarkStart w:id="204" w:name="_Toc4638"/>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六</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大力发展银发经济</w:t>
      </w:r>
      <w:bookmarkEnd w:id="200"/>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color w:val="0C0C0C"/>
          <w:sz w:val="32"/>
          <w:szCs w:val="32"/>
        </w:rPr>
        <w:t>大力发展银发经济，推动养老相关行业融合与产业集群，促进老年消费市场的繁荣与发展</w:t>
      </w:r>
      <w:r>
        <w:rPr>
          <w:rFonts w:hint="default" w:ascii="Times New Roman" w:hAnsi="Times New Roman" w:eastAsia="文星仿宋" w:cs="Times New Roman"/>
          <w:color w:val="0C0C0C"/>
          <w:sz w:val="32"/>
          <w:szCs w:val="32"/>
          <w:lang w:eastAsia="zh-CN"/>
        </w:rPr>
        <w:t>。</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05" w:name="_Toc11338"/>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培育智能健康老年用品市场</w:t>
      </w:r>
      <w:bookmarkEnd w:id="20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b w:val="0"/>
          <w:bCs w:val="0"/>
          <w:color w:val="0C0C0C"/>
          <w:kern w:val="2"/>
          <w:sz w:val="32"/>
          <w:szCs w:val="32"/>
          <w:lang w:val="en-US" w:eastAsia="zh-CN" w:bidi="ar-SA"/>
        </w:rPr>
        <w:t>充分利用我县绿色、有机和地理标志保护产品等品牌优势，大力发展老年健康食品产业，结合地方传统加工方法，把优质农副产品加工成具有地方特色的老年营养套餐。针对平远特色的中药材开发系列保健品与老年康复药品，实现规模化、标准化发展。鼓励支持企业研发生产可穿戴、便携式监测、居家养老监护等智能养老设备，加快发展老年功能</w:t>
      </w:r>
      <w:r>
        <w:rPr>
          <w:rFonts w:hint="default" w:ascii="Times New Roman" w:hAnsi="Times New Roman" w:eastAsia="文星仿宋" w:cs="Times New Roman"/>
          <w:b w:val="0"/>
          <w:bCs w:val="0"/>
          <w:color w:val="0C0C0C"/>
          <w:kern w:val="2"/>
          <w:sz w:val="32"/>
          <w:szCs w:val="32"/>
          <w:u w:val="none"/>
          <w:lang w:val="en-US" w:eastAsia="zh-CN" w:bidi="ar-SA"/>
        </w:rPr>
        <w:t>代偿</w:t>
      </w:r>
      <w:r>
        <w:rPr>
          <w:rFonts w:hint="default" w:ascii="Times New Roman" w:hAnsi="Times New Roman" w:eastAsia="文星仿宋" w:cs="Times New Roman"/>
          <w:b w:val="0"/>
          <w:bCs w:val="0"/>
          <w:color w:val="0C0C0C"/>
          <w:kern w:val="2"/>
          <w:sz w:val="32"/>
          <w:szCs w:val="32"/>
          <w:lang w:val="en-US" w:eastAsia="zh-CN" w:bidi="ar-SA"/>
        </w:rPr>
        <w:t>产品市场，实施康复辅助器具应用推广工程。推进康复辅具进机构、进社区、进家庭，支持有条件的养老服务机构建立应用推广基地，开展产品展示、技术指导、服务培训等活动</w:t>
      </w:r>
      <w:r>
        <w:rPr>
          <w:rFonts w:hint="default" w:ascii="Times New Roman" w:hAnsi="Times New Roman" w:eastAsia="文星仿宋" w:cs="Times New Roman"/>
          <w:color w:val="0C0C0C"/>
          <w:sz w:val="32"/>
          <w:szCs w:val="32"/>
        </w:rPr>
        <w:t>。</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06" w:name="_Toc28208"/>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培育养老服务新业态</w:t>
      </w:r>
      <w:bookmarkEnd w:id="20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支持养老服务与文化、旅游、餐饮、体育、家政、教育、养生、健康、金融等行业领域融合发展。探索中医药长寿养老旅游发展的新理念和新模式，推动长寿养老与旅游业相结合，与中医药健康服务业深度融合。探索发展旅居养老、文化养老、健康养老、养生养老等新兴业态，为老年人提供多样化、多选择的产品和服务。</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07" w:name="_Toc25097"/>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深化区域养老服务合作</w:t>
      </w:r>
      <w:bookmarkEnd w:id="20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lang w:val="en-US" w:eastAsia="zh-CN"/>
        </w:rPr>
      </w:pPr>
      <w:r>
        <w:rPr>
          <w:rFonts w:hint="default" w:ascii="Times New Roman" w:hAnsi="Times New Roman" w:eastAsia="文星仿宋" w:cs="Times New Roman"/>
          <w:color w:val="0C0C0C"/>
          <w:sz w:val="32"/>
          <w:szCs w:val="32"/>
          <w:lang w:val="en-US" w:eastAsia="zh-CN"/>
        </w:rPr>
        <w:t>加强我县与粤港澳大湾区在养老服务人才、资金、项目、标准化等方面的合作，积极推动各种要素自由流动和优化配置，助力跨境养老服务“湾区模式”建设。支持粤港澳大湾区投资者在平以独资、合资或合作等方式兴办养老服务机构，为广大粤港澳大湾区投资者参与我县的养老服务建设积极创造便利条件。积极参加粤港澳大湾区养老服务标准联盟活动，加强人才交流、互访和培训，引导更多优质资源进入我县养老服务市场。借助粤港澳大湾区建设，积极与闽赣等周边区域开展养老领域交流互动，助力省际养老服务“旅居模式”建设，促进资源共享、优势互补、市场共建、产业共兴。</w:t>
      </w:r>
    </w:p>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208" w:name="_Toc10513"/>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七</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健全养老服务综合监管机制</w:t>
      </w:r>
      <w:bookmarkEnd w:id="201"/>
      <w:bookmarkEnd w:id="202"/>
      <w:bookmarkEnd w:id="203"/>
      <w:bookmarkEnd w:id="204"/>
      <w:bookmarkEnd w:id="208"/>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文星仿宋" w:cs="Times New Roman"/>
          <w:b w:val="0"/>
          <w:bCs w:val="0"/>
          <w:color w:val="0C0C0C"/>
          <w:sz w:val="32"/>
          <w:szCs w:val="32"/>
          <w:lang w:eastAsia="zh-CN"/>
        </w:rPr>
      </w:pPr>
      <w:r>
        <w:rPr>
          <w:rFonts w:hint="default" w:ascii="Times New Roman" w:hAnsi="Times New Roman" w:eastAsia="文星仿宋" w:cs="Times New Roman"/>
          <w:b w:val="0"/>
          <w:bCs w:val="0"/>
          <w:color w:val="0C0C0C"/>
          <w:sz w:val="32"/>
          <w:szCs w:val="32"/>
        </w:rPr>
        <w:t>推进养老服务综合监管与市场发展形势相适应</w:t>
      </w:r>
      <w:r>
        <w:rPr>
          <w:rFonts w:hint="default" w:ascii="Times New Roman" w:hAnsi="Times New Roman" w:eastAsia="文星仿宋" w:cs="Times New Roman"/>
          <w:b w:val="0"/>
          <w:bCs w:val="0"/>
          <w:color w:val="0C0C0C"/>
          <w:sz w:val="32"/>
          <w:szCs w:val="32"/>
          <w:lang w:eastAsia="zh-CN"/>
        </w:rPr>
        <w:t>，促进养老服务业健康有序发展。</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09" w:name="_Toc16050"/>
      <w:bookmarkStart w:id="210" w:name="_Toc22489"/>
      <w:bookmarkStart w:id="211" w:name="_Toc29492"/>
      <w:bookmarkStart w:id="212" w:name="_Toc19289"/>
      <w:bookmarkStart w:id="213" w:name="_Toc23080"/>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完善养老服务综合监管</w:t>
      </w:r>
      <w:bookmarkEnd w:id="209"/>
      <w:bookmarkEnd w:id="210"/>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lang w:eastAsia="zh-CN"/>
        </w:rPr>
        <w:t>按照“谁审批、谁监管，谁主管、谁监管”原则，建立健全政府主导、机构主责、部门协同、行业自律、社会监督的养老服务综合监管制度，构建以“双随机、一公开”监管为基本手段、以重点监管为补充、以信用监管为基础的新型监管机制，创新监管理念、健全监管制度、完善监管方式、提升监管效能，实现对养老服务机构全流程、全链条、全方位、全生命周期的监管。</w:t>
      </w:r>
      <w:r>
        <w:rPr>
          <w:rFonts w:hint="default" w:ascii="Times New Roman" w:hAnsi="Times New Roman" w:eastAsia="文星仿宋" w:cs="Times New Roman"/>
          <w:color w:val="0C0C0C"/>
          <w:sz w:val="32"/>
          <w:szCs w:val="32"/>
        </w:rPr>
        <w:t>引导和激励养老服务机构诚信守法经营、积极转型升级、持续优化服务，促进养老服务业态健康有序发展。</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14" w:name="_Toc16261"/>
      <w:bookmarkStart w:id="215" w:name="_Toc18819"/>
      <w:bookmarkStart w:id="216" w:name="_Toc12400"/>
      <w:bookmarkStart w:id="217" w:name="_Toc20120"/>
      <w:bookmarkStart w:id="218" w:name="_Toc1617"/>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加强养老服务重点领域监管</w:t>
      </w:r>
      <w:bookmarkEnd w:id="214"/>
      <w:bookmarkEnd w:id="215"/>
      <w:bookmarkEnd w:id="216"/>
      <w:bookmarkEnd w:id="217"/>
      <w:bookmarkEnd w:id="218"/>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文星仿宋" w:cs="Times New Roman"/>
          <w:color w:val="0C0C0C"/>
          <w:sz w:val="32"/>
          <w:szCs w:val="32"/>
        </w:rPr>
      </w:pPr>
      <w:bookmarkStart w:id="219" w:name="_Toc19082"/>
      <w:bookmarkStart w:id="220" w:name="_Toc29899"/>
      <w:r>
        <w:rPr>
          <w:rFonts w:hint="default" w:ascii="Times New Roman" w:hAnsi="Times New Roman" w:eastAsia="文星仿宋" w:cs="Times New Roman"/>
          <w:color w:val="0C0C0C"/>
          <w:sz w:val="32"/>
          <w:szCs w:val="32"/>
        </w:rPr>
        <w:t>主动防范化解养老服务机构在建筑、消防、资金、人员、食品、医疗卫生等方面的安全风险，及时消除重大安全隐患。加强对设施建设用地监管执法，依法查处养老服务设施用地的违法违规行为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加强对运营秩序的监督检查，依法打击无证无照从事养老服务的行为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加强对质量安全的监督检查，防范化解养老服务机构安全生产风险隐患</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加强对从业人员的监督引导，依法依规从严惩处欺老虐老等行为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加强对涉及资金的审计检查，依法打击弄虚作假、骗取补贴、挤占挪用等违法违规行为</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加强对养老机构预收费及养老地产、养老金融、旅居养老、老年养生保健等新兴业态的风险排查和预警</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依法打击以养老服务名义进行非法集资的行为。</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21" w:name="_Toc11361"/>
      <w:bookmarkStart w:id="222" w:name="_Toc15205"/>
      <w:bookmarkStart w:id="223" w:name="_Toc31712"/>
      <w:bookmarkStart w:id="224" w:name="_Toc3436"/>
      <w:bookmarkStart w:id="225" w:name="_Toc9126"/>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w:t>
      </w:r>
      <w:r>
        <w:rPr>
          <w:rFonts w:hint="default" w:ascii="Times New Roman" w:hAnsi="Times New Roman" w:eastAsia="文星楷体" w:cs="Times New Roman"/>
          <w:b w:val="0"/>
          <w:bCs/>
          <w:color w:val="0C0C0C"/>
          <w:sz w:val="32"/>
          <w:szCs w:val="20"/>
          <w:lang w:eastAsia="zh-CN"/>
        </w:rPr>
        <w:t>推进养老服务领域社会信用体系建设</w:t>
      </w:r>
      <w:bookmarkEnd w:id="221"/>
      <w:bookmarkEnd w:id="222"/>
      <w:bookmarkEnd w:id="223"/>
      <w:bookmarkEnd w:id="224"/>
      <w:bookmarkEnd w:id="225"/>
    </w:p>
    <w:bookmarkEnd w:id="219"/>
    <w:bookmarkEnd w:id="220"/>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color w:val="0C0C0C"/>
          <w:sz w:val="32"/>
          <w:szCs w:val="32"/>
        </w:rPr>
        <w:t>建立健全守信联合激励和失信联合惩戒机制，对于养老服务机构</w:t>
      </w:r>
      <w:r>
        <w:rPr>
          <w:rFonts w:hint="default" w:ascii="Times New Roman" w:hAnsi="Times New Roman" w:eastAsia="文星仿宋" w:cs="Times New Roman"/>
          <w:color w:val="0C0C0C"/>
          <w:sz w:val="32"/>
          <w:szCs w:val="32"/>
          <w:lang w:eastAsia="zh-CN"/>
        </w:rPr>
        <w:t>登记</w:t>
      </w:r>
      <w:r>
        <w:rPr>
          <w:rFonts w:hint="default" w:ascii="Times New Roman" w:hAnsi="Times New Roman" w:eastAsia="文星仿宋" w:cs="Times New Roman"/>
          <w:color w:val="0C0C0C"/>
          <w:sz w:val="32"/>
          <w:szCs w:val="32"/>
        </w:rPr>
        <w:t>备案、行政处罚、抽查检查结果等信息，</w:t>
      </w:r>
      <w:r>
        <w:rPr>
          <w:rFonts w:hint="default" w:ascii="Times New Roman" w:hAnsi="Times New Roman" w:eastAsia="文星仿宋" w:cs="Times New Roman"/>
          <w:color w:val="0C0C0C"/>
          <w:sz w:val="32"/>
          <w:szCs w:val="32"/>
          <w:lang w:eastAsia="zh-CN"/>
        </w:rPr>
        <w:t>探索</w:t>
      </w:r>
      <w:r>
        <w:rPr>
          <w:rFonts w:hint="default" w:ascii="Times New Roman" w:hAnsi="Times New Roman" w:eastAsia="文星仿宋" w:cs="Times New Roman"/>
          <w:color w:val="0C0C0C"/>
          <w:sz w:val="32"/>
          <w:szCs w:val="32"/>
        </w:rPr>
        <w:t>按经营性质分别通过“信用广东”、国家企业信用信息公示系统等平台记于其名下并依法公示。建立养老机构备案信用承诺制度，将承诺履约情况记入信用记录</w:t>
      </w:r>
      <w:r>
        <w:rPr>
          <w:rFonts w:hint="default" w:ascii="Times New Roman" w:hAnsi="Times New Roman" w:eastAsia="文星仿宋" w:cs="Times New Roman"/>
          <w:color w:val="0C0C0C"/>
          <w:sz w:val="32"/>
          <w:szCs w:val="32"/>
          <w:lang w:eastAsia="zh-CN"/>
        </w:rPr>
        <w:t>。推动养老服务领域行业自律体系建设，提高养老服务行业组织自我约束、自我规范、自我服务能力。</w:t>
      </w:r>
    </w:p>
    <w:bookmarkEnd w:id="83"/>
    <w:bookmarkEnd w:id="84"/>
    <w:bookmarkEnd w:id="85"/>
    <w:bookmarkEnd w:id="86"/>
    <w:bookmarkEnd w:id="87"/>
    <w:bookmarkEnd w:id="88"/>
    <w:bookmarkEnd w:id="89"/>
    <w:bookmarkEnd w:id="90"/>
    <w:bookmarkEnd w:id="91"/>
    <w:p>
      <w:pPr>
        <w:pStyle w:val="4"/>
        <w:keepNext w:val="0"/>
        <w:keepLines w:val="0"/>
        <w:pageBreakBefore w:val="0"/>
        <w:widowControl w:val="0"/>
        <w:kinsoku/>
        <w:wordWrap/>
        <w:overflowPunct/>
        <w:topLinePunct w:val="0"/>
        <w:autoSpaceDE/>
        <w:autoSpaceDN/>
        <w:bidi w:val="0"/>
        <w:adjustRightInd/>
        <w:snapToGrid/>
        <w:spacing w:before="616" w:beforeLines="100" w:after="616" w:afterLines="100" w:line="600" w:lineRule="exact"/>
        <w:jc w:val="center"/>
        <w:textAlignment w:val="auto"/>
        <w:rPr>
          <w:rFonts w:hint="default" w:ascii="Times New Roman" w:hAnsi="Times New Roman" w:eastAsia="文星标宋" w:cs="Times New Roman"/>
          <w:b w:val="0"/>
          <w:bCs/>
          <w:color w:val="0C0C0C"/>
          <w:sz w:val="36"/>
          <w:szCs w:val="21"/>
        </w:rPr>
      </w:pPr>
      <w:bookmarkStart w:id="226" w:name="_Toc17435"/>
      <w:bookmarkStart w:id="227" w:name="_Toc7985"/>
      <w:bookmarkStart w:id="228" w:name="_Toc5552"/>
      <w:bookmarkStart w:id="229" w:name="_Toc23373"/>
      <w:bookmarkStart w:id="230" w:name="_Toc3377"/>
      <w:r>
        <w:rPr>
          <w:rFonts w:hint="default" w:ascii="Times New Roman" w:hAnsi="Times New Roman" w:eastAsia="文星标宋" w:cs="Times New Roman"/>
          <w:b w:val="0"/>
          <w:bCs/>
          <w:color w:val="0C0C0C"/>
          <w:sz w:val="36"/>
          <w:szCs w:val="21"/>
        </w:rPr>
        <w:t>第</w:t>
      </w:r>
      <w:r>
        <w:rPr>
          <w:rFonts w:hint="default" w:ascii="Times New Roman" w:hAnsi="Times New Roman" w:eastAsia="文星标宋" w:cs="Times New Roman"/>
          <w:b w:val="0"/>
          <w:bCs/>
          <w:color w:val="0C0C0C"/>
          <w:sz w:val="36"/>
          <w:szCs w:val="21"/>
          <w:lang w:eastAsia="zh-CN"/>
        </w:rPr>
        <w:t>八</w:t>
      </w:r>
      <w:r>
        <w:rPr>
          <w:rFonts w:hint="default" w:ascii="Times New Roman" w:hAnsi="Times New Roman" w:eastAsia="文星标宋" w:cs="Times New Roman"/>
          <w:b w:val="0"/>
          <w:bCs/>
          <w:color w:val="0C0C0C"/>
          <w:sz w:val="36"/>
          <w:szCs w:val="21"/>
        </w:rPr>
        <w:t>章</w:t>
      </w:r>
      <w:r>
        <w:rPr>
          <w:rFonts w:hint="default" w:ascii="Times New Roman" w:hAnsi="Times New Roman" w:eastAsia="文星标宋" w:cs="Times New Roman"/>
          <w:b w:val="0"/>
          <w:bCs/>
          <w:color w:val="0C0C0C"/>
          <w:sz w:val="36"/>
          <w:szCs w:val="21"/>
          <w:lang w:val="en-US" w:eastAsia="zh-CN"/>
        </w:rPr>
        <w:t xml:space="preserve"> 规划实施保障</w:t>
      </w:r>
      <w:bookmarkEnd w:id="226"/>
      <w:bookmarkEnd w:id="227"/>
      <w:bookmarkEnd w:id="228"/>
      <w:bookmarkEnd w:id="229"/>
      <w:bookmarkEnd w:id="230"/>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color w:val="0C0C0C"/>
          <w:sz w:val="32"/>
          <w:szCs w:val="32"/>
        </w:rPr>
        <w:t>锚定“十四五”时期</w:t>
      </w:r>
      <w:r>
        <w:rPr>
          <w:rFonts w:hint="default" w:ascii="Times New Roman" w:hAnsi="Times New Roman" w:eastAsia="文星仿宋" w:cs="Times New Roman"/>
          <w:color w:val="0C0C0C"/>
          <w:sz w:val="32"/>
          <w:szCs w:val="32"/>
          <w:lang w:eastAsia="zh-CN"/>
        </w:rPr>
        <w:t>平远</w:t>
      </w:r>
      <w:r>
        <w:rPr>
          <w:rFonts w:hint="default" w:ascii="Times New Roman" w:hAnsi="Times New Roman" w:eastAsia="文星仿宋" w:cs="Times New Roman"/>
          <w:color w:val="0C0C0C"/>
          <w:sz w:val="32"/>
          <w:szCs w:val="32"/>
        </w:rPr>
        <w:t>养老服务发展的总目标，落实实施责任</w:t>
      </w:r>
      <w:r>
        <w:rPr>
          <w:rFonts w:hint="default" w:ascii="Times New Roman" w:hAnsi="Times New Roman" w:eastAsia="文星仿宋" w:cs="Times New Roman"/>
          <w:color w:val="0C0C0C"/>
          <w:sz w:val="32"/>
          <w:szCs w:val="32"/>
          <w:lang w:eastAsia="zh-CN"/>
        </w:rPr>
        <w:t>，确保如期高质量完成规划各项任务和建设重点。</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31" w:name="_Toc25638"/>
      <w:bookmarkStart w:id="232" w:name="_Toc27191"/>
      <w:bookmarkStart w:id="233" w:name="_Toc17396"/>
      <w:bookmarkStart w:id="234" w:name="_Toc29378"/>
      <w:bookmarkStart w:id="235" w:name="_Toc1573"/>
      <w:r>
        <w:rPr>
          <w:rFonts w:hint="default" w:ascii="Times New Roman" w:hAnsi="Times New Roman" w:eastAsia="文星楷体" w:cs="Times New Roman"/>
          <w:b w:val="0"/>
          <w:bCs/>
          <w:color w:val="0C0C0C"/>
          <w:sz w:val="32"/>
          <w:szCs w:val="20"/>
          <w:lang w:eastAsia="zh-CN"/>
        </w:rPr>
        <w:t>第一节</w:t>
      </w:r>
      <w:r>
        <w:rPr>
          <w:rFonts w:hint="default" w:ascii="Times New Roman" w:hAnsi="Times New Roman" w:eastAsia="文星楷体" w:cs="Times New Roman"/>
          <w:b w:val="0"/>
          <w:bCs/>
          <w:color w:val="0C0C0C"/>
          <w:sz w:val="32"/>
          <w:szCs w:val="20"/>
          <w:lang w:val="en-US" w:eastAsia="zh-CN"/>
        </w:rPr>
        <w:t xml:space="preserve"> 加强组织领导</w:t>
      </w:r>
      <w:bookmarkEnd w:id="231"/>
      <w:bookmarkEnd w:id="232"/>
      <w:bookmarkEnd w:id="233"/>
      <w:bookmarkEnd w:id="234"/>
      <w:bookmarkEnd w:id="235"/>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将养老服务体系建设纳入经济社会发展整体规划</w:t>
      </w:r>
      <w:r>
        <w:rPr>
          <w:rFonts w:hint="default" w:ascii="Times New Roman" w:hAnsi="Times New Roman" w:eastAsia="文星仿宋" w:cs="Times New Roman"/>
          <w:color w:val="0C0C0C"/>
          <w:sz w:val="32"/>
          <w:szCs w:val="32"/>
          <w:lang w:eastAsia="zh-CN"/>
        </w:rPr>
        <w:t>。各级党委</w:t>
      </w:r>
      <w:r>
        <w:rPr>
          <w:rFonts w:hint="eastAsia"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lang w:eastAsia="zh-CN"/>
        </w:rPr>
        <w:t>政府要积极争取将养老服务纳入地方党政班子考核指标体系、列入民生实事、列入重要议事日程，将农村养老服务纳入“三农”工作和乡村振兴战略重点推进范围，争取列入党组织书记抓基层党建述职评议考核内容。</w:t>
      </w:r>
      <w:r>
        <w:rPr>
          <w:rFonts w:hint="default" w:ascii="Times New Roman" w:hAnsi="Times New Roman" w:eastAsia="文星仿宋" w:cs="Times New Roman"/>
          <w:color w:val="0C0C0C"/>
          <w:sz w:val="32"/>
          <w:szCs w:val="32"/>
        </w:rPr>
        <w:t>不断建立健全养老服务部门间联席会议制度，协调解决跨部门的重难点问题，形成推进养老服务发展合力。</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36" w:name="_Toc3873"/>
      <w:bookmarkStart w:id="237" w:name="_Toc27850"/>
      <w:bookmarkStart w:id="238" w:name="_Toc5810"/>
      <w:bookmarkStart w:id="239" w:name="_Toc18470"/>
      <w:bookmarkStart w:id="240" w:name="_Toc28546"/>
      <w:r>
        <w:rPr>
          <w:rFonts w:hint="default" w:ascii="Times New Roman" w:hAnsi="Times New Roman" w:eastAsia="文星楷体" w:cs="Times New Roman"/>
          <w:b w:val="0"/>
          <w:bCs/>
          <w:color w:val="0C0C0C"/>
          <w:sz w:val="32"/>
          <w:szCs w:val="20"/>
          <w:lang w:eastAsia="zh-CN"/>
        </w:rPr>
        <w:t>第二节</w:t>
      </w:r>
      <w:r>
        <w:rPr>
          <w:rFonts w:hint="default" w:ascii="Times New Roman" w:hAnsi="Times New Roman" w:eastAsia="文星楷体" w:cs="Times New Roman"/>
          <w:b w:val="0"/>
          <w:bCs/>
          <w:color w:val="0C0C0C"/>
          <w:sz w:val="32"/>
          <w:szCs w:val="20"/>
          <w:lang w:val="en-US" w:eastAsia="zh-CN"/>
        </w:rPr>
        <w:t xml:space="preserve"> 加强督促考评</w:t>
      </w:r>
      <w:bookmarkEnd w:id="236"/>
      <w:bookmarkEnd w:id="237"/>
      <w:bookmarkEnd w:id="238"/>
      <w:bookmarkEnd w:id="239"/>
      <w:bookmarkEnd w:id="240"/>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文星仿宋" w:cs="Times New Roman"/>
          <w:color w:val="0C0C0C"/>
          <w:sz w:val="32"/>
          <w:szCs w:val="32"/>
        </w:rPr>
      </w:pPr>
      <w:r>
        <w:rPr>
          <w:rFonts w:hint="default" w:ascii="Times New Roman" w:hAnsi="Times New Roman" w:eastAsia="文星仿宋" w:cs="Times New Roman"/>
          <w:color w:val="0C0C0C"/>
          <w:sz w:val="32"/>
          <w:szCs w:val="32"/>
        </w:rPr>
        <w:t>强化规划执行刚性，</w:t>
      </w:r>
      <w:r>
        <w:rPr>
          <w:rFonts w:hint="default" w:ascii="Times New Roman" w:hAnsi="Times New Roman" w:eastAsia="文星仿宋" w:cs="Times New Roman"/>
          <w:color w:val="0C0C0C"/>
          <w:sz w:val="32"/>
          <w:szCs w:val="32"/>
          <w:lang w:eastAsia="zh-CN"/>
        </w:rPr>
        <w:t>各乡镇、各部门要</w:t>
      </w:r>
      <w:r>
        <w:rPr>
          <w:rFonts w:hint="default" w:ascii="Times New Roman" w:hAnsi="Times New Roman" w:eastAsia="文星仿宋" w:cs="Times New Roman"/>
          <w:color w:val="0C0C0C"/>
          <w:sz w:val="32"/>
          <w:szCs w:val="32"/>
        </w:rPr>
        <w:t>认真对标对表，分解工作目标任务</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从实际出发</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建立监督</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评估考核与激励机制</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对实施过程中出现的问题要及时上报</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切实推动</w:t>
      </w:r>
      <w:r>
        <w:rPr>
          <w:rFonts w:hint="default" w:ascii="Times New Roman" w:hAnsi="Times New Roman" w:eastAsia="文星仿宋" w:cs="Times New Roman"/>
          <w:color w:val="0C0C0C"/>
          <w:sz w:val="32"/>
          <w:szCs w:val="32"/>
          <w:lang w:eastAsia="zh-CN"/>
        </w:rPr>
        <w:t>全县</w:t>
      </w:r>
      <w:r>
        <w:rPr>
          <w:rFonts w:hint="default" w:ascii="Times New Roman" w:hAnsi="Times New Roman" w:eastAsia="文星仿宋" w:cs="Times New Roman"/>
          <w:color w:val="0C0C0C"/>
          <w:sz w:val="32"/>
          <w:szCs w:val="32"/>
        </w:rPr>
        <w:t>养老服务体系建设任务落细落实落地</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目标任务如期完成</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在2023年和2025年</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分别对本规划的执行情况进行中期评估和终期评估</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创新评估方式方法</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引入第三方评估机制</w:t>
      </w:r>
      <w:r>
        <w:rPr>
          <w:rFonts w:hint="default" w:ascii="Times New Roman" w:hAnsi="Times New Roman" w:eastAsia="文星仿宋" w:cs="Times New Roman"/>
          <w:color w:val="0C0C0C"/>
          <w:sz w:val="32"/>
          <w:szCs w:val="32"/>
          <w:lang w:eastAsia="zh-CN"/>
        </w:rPr>
        <w:t>，</w:t>
      </w:r>
      <w:r>
        <w:rPr>
          <w:rFonts w:hint="default" w:ascii="Times New Roman" w:hAnsi="Times New Roman" w:eastAsia="文星仿宋" w:cs="Times New Roman"/>
          <w:color w:val="0C0C0C"/>
          <w:sz w:val="32"/>
          <w:szCs w:val="32"/>
        </w:rPr>
        <w:t>将评估结果作为改进工作的重要依据。</w:t>
      </w:r>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41" w:name="_Toc4665"/>
      <w:bookmarkStart w:id="242" w:name="_Toc17667"/>
      <w:bookmarkStart w:id="243" w:name="_Toc20851"/>
      <w:bookmarkStart w:id="244" w:name="_Toc16502"/>
      <w:bookmarkStart w:id="245" w:name="_Toc26090"/>
      <w:r>
        <w:rPr>
          <w:rFonts w:hint="default" w:ascii="Times New Roman" w:hAnsi="Times New Roman" w:eastAsia="文星楷体" w:cs="Times New Roman"/>
          <w:b w:val="0"/>
          <w:bCs/>
          <w:color w:val="0C0C0C"/>
          <w:sz w:val="32"/>
          <w:szCs w:val="20"/>
          <w:lang w:eastAsia="zh-CN"/>
        </w:rPr>
        <w:t>第三节</w:t>
      </w:r>
      <w:r>
        <w:rPr>
          <w:rFonts w:hint="default" w:ascii="Times New Roman" w:hAnsi="Times New Roman" w:eastAsia="文星楷体" w:cs="Times New Roman"/>
          <w:b w:val="0"/>
          <w:bCs/>
          <w:color w:val="0C0C0C"/>
          <w:sz w:val="32"/>
          <w:szCs w:val="20"/>
          <w:lang w:val="en-US" w:eastAsia="zh-CN"/>
        </w:rPr>
        <w:t xml:space="preserve"> 加强基层力量</w:t>
      </w:r>
      <w:bookmarkEnd w:id="241"/>
      <w:bookmarkEnd w:id="242"/>
      <w:bookmarkEnd w:id="243"/>
      <w:bookmarkEnd w:id="244"/>
      <w:bookmarkEnd w:id="245"/>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文星仿宋" w:cs="Times New Roman"/>
          <w:color w:val="0C0C0C"/>
          <w:sz w:val="32"/>
          <w:szCs w:val="32"/>
        </w:rPr>
      </w:pPr>
      <w:bookmarkStart w:id="246" w:name="_Toc28784"/>
      <w:bookmarkStart w:id="247" w:name="_Toc13514"/>
      <w:bookmarkStart w:id="248" w:name="_Toc13052"/>
      <w:bookmarkStart w:id="249" w:name="_Toc21322"/>
      <w:bookmarkStart w:id="250" w:name="_Toc32699"/>
      <w:bookmarkStart w:id="251" w:name="_Toc23974"/>
      <w:r>
        <w:rPr>
          <w:rFonts w:hint="default" w:ascii="Times New Roman" w:hAnsi="Times New Roman" w:eastAsia="文星仿宋" w:cs="Times New Roman"/>
          <w:color w:val="0C0C0C"/>
          <w:sz w:val="32"/>
          <w:szCs w:val="32"/>
        </w:rPr>
        <w:t>各</w:t>
      </w:r>
      <w:r>
        <w:rPr>
          <w:rFonts w:hint="eastAsia" w:ascii="Times New Roman" w:hAnsi="Times New Roman" w:eastAsia="文星仿宋" w:cs="Times New Roman"/>
          <w:color w:val="0C0C0C"/>
          <w:sz w:val="32"/>
          <w:szCs w:val="32"/>
          <w:lang w:val="en-US" w:eastAsia="zh-CN"/>
        </w:rPr>
        <w:t>镇</w:t>
      </w:r>
      <w:r>
        <w:rPr>
          <w:rFonts w:hint="default" w:ascii="Times New Roman" w:hAnsi="Times New Roman" w:eastAsia="文星仿宋" w:cs="Times New Roman"/>
          <w:color w:val="0C0C0C"/>
          <w:sz w:val="32"/>
          <w:szCs w:val="32"/>
        </w:rPr>
        <w:t>要强化养老服务管理职能，按照区域内养老服务对象数量、需求和事项等因素，合理确定区域开展养老服务所需工作人员数量，科学整合相关机构和资源，积极推行政府购买养老服务，切实加强基层养老经办服务能力。</w:t>
      </w:r>
      <w:bookmarkEnd w:id="246"/>
      <w:bookmarkEnd w:id="247"/>
      <w:bookmarkEnd w:id="248"/>
      <w:bookmarkEnd w:id="249"/>
      <w:bookmarkEnd w:id="250"/>
      <w:bookmarkEnd w:id="251"/>
    </w:p>
    <w:p>
      <w:pPr>
        <w:pStyle w:val="4"/>
        <w:keepNext/>
        <w:keepLines/>
        <w:pageBreakBefore w:val="0"/>
        <w:widowControl w:val="0"/>
        <w:numPr>
          <w:ilvl w:val="0"/>
          <w:numId w:val="0"/>
        </w:numPr>
        <w:tabs>
          <w:tab w:val="clear" w:pos="312"/>
        </w:tabs>
        <w:kinsoku/>
        <w:wordWrap/>
        <w:overflowPunct/>
        <w:topLinePunct w:val="0"/>
        <w:autoSpaceDE/>
        <w:autoSpaceDN/>
        <w:bidi w:val="0"/>
        <w:adjustRightInd w:val="0"/>
        <w:snapToGrid/>
        <w:spacing w:before="309" w:beforeLines="50" w:after="309" w:afterLines="50" w:line="600" w:lineRule="exact"/>
        <w:jc w:val="center"/>
        <w:textAlignment w:val="auto"/>
        <w:outlineLvl w:val="1"/>
        <w:rPr>
          <w:rFonts w:hint="default" w:ascii="Times New Roman" w:hAnsi="Times New Roman" w:eastAsia="文星楷体" w:cs="Times New Roman"/>
          <w:b w:val="0"/>
          <w:bCs/>
          <w:color w:val="0C0C0C"/>
          <w:sz w:val="32"/>
          <w:szCs w:val="20"/>
          <w:lang w:eastAsia="zh-CN"/>
        </w:rPr>
      </w:pPr>
      <w:bookmarkStart w:id="252" w:name="_Toc27999"/>
      <w:bookmarkStart w:id="253" w:name="_Toc26971"/>
      <w:bookmarkStart w:id="254" w:name="_Toc11908"/>
      <w:bookmarkStart w:id="255" w:name="_Toc26730"/>
      <w:bookmarkStart w:id="256" w:name="_Toc20192"/>
      <w:r>
        <w:rPr>
          <w:rFonts w:hint="default" w:ascii="Times New Roman" w:hAnsi="Times New Roman" w:eastAsia="文星楷体" w:cs="Times New Roman"/>
          <w:b w:val="0"/>
          <w:bCs/>
          <w:color w:val="0C0C0C"/>
          <w:sz w:val="32"/>
          <w:szCs w:val="20"/>
          <w:lang w:eastAsia="zh-CN"/>
        </w:rPr>
        <w:t>第四节</w:t>
      </w:r>
      <w:r>
        <w:rPr>
          <w:rFonts w:hint="default" w:ascii="Times New Roman" w:hAnsi="Times New Roman" w:eastAsia="文星楷体" w:cs="Times New Roman"/>
          <w:b w:val="0"/>
          <w:bCs/>
          <w:color w:val="0C0C0C"/>
          <w:sz w:val="32"/>
          <w:szCs w:val="20"/>
          <w:lang w:val="en-US" w:eastAsia="zh-CN"/>
        </w:rPr>
        <w:t xml:space="preserve"> 加强</w:t>
      </w:r>
      <w:bookmarkEnd w:id="252"/>
      <w:bookmarkEnd w:id="253"/>
      <w:r>
        <w:rPr>
          <w:rFonts w:hint="default" w:ascii="Times New Roman" w:hAnsi="Times New Roman" w:eastAsia="文星楷体" w:cs="Times New Roman"/>
          <w:b w:val="0"/>
          <w:bCs/>
          <w:color w:val="0C0C0C"/>
          <w:sz w:val="32"/>
          <w:szCs w:val="20"/>
          <w:lang w:val="en-US" w:eastAsia="zh-CN"/>
        </w:rPr>
        <w:t>宣传引导</w:t>
      </w:r>
      <w:bookmarkEnd w:id="254"/>
      <w:bookmarkEnd w:id="255"/>
      <w:bookmarkEnd w:id="256"/>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文星仿宋" w:cs="Times New Roman"/>
          <w:color w:val="0C0C0C"/>
          <w:sz w:val="32"/>
          <w:szCs w:val="32"/>
          <w:lang w:eastAsia="zh-CN"/>
        </w:rPr>
      </w:pPr>
      <w:r>
        <w:rPr>
          <w:rFonts w:hint="default" w:ascii="Times New Roman" w:hAnsi="Times New Roman" w:eastAsia="文星仿宋" w:cs="Times New Roman"/>
          <w:b w:val="0"/>
          <w:bCs w:val="0"/>
          <w:color w:val="0C0C0C"/>
          <w:sz w:val="32"/>
          <w:szCs w:val="32"/>
          <w:lang w:val="en-US" w:eastAsia="zh-CN"/>
        </w:rPr>
        <w:t>加强人口老龄化国情教育和敬老孝老文化建设，宣传养老服务好经验、好做法，及时曝光侵害老年人权益的行为。组织开展养老护理员技能大赛和关爱活动，让养老护理员得到全社会尊重。引导更多社会力量和爱心人士参与养老服务工作，形成社会各界关心、支持社区养老服务的良好氛围</w:t>
      </w:r>
      <w:r>
        <w:rPr>
          <w:rFonts w:hint="default" w:ascii="Times New Roman" w:hAnsi="Times New Roman" w:eastAsia="文星仿宋" w:cs="Times New Roman"/>
          <w:color w:val="0C0C0C"/>
          <w:sz w:val="32"/>
          <w:szCs w:val="32"/>
          <w:lang w:eastAsia="zh-CN"/>
        </w:rPr>
        <w:t>。</w:t>
      </w:r>
    </w:p>
    <w:p>
      <w:pPr>
        <w:pStyle w:val="13"/>
        <w:jc w:val="right"/>
        <w:rPr>
          <w:rFonts w:hint="eastAsia" w:ascii="仿宋_GB2312" w:hAnsi="仿宋_GB2312" w:eastAsia="仿宋_GB2312" w:cs="仿宋_GB2312"/>
          <w:color w:val="auto"/>
          <w:lang w:val="en-US" w:eastAsia="zh-CN"/>
        </w:rPr>
      </w:pPr>
    </w:p>
    <w:p>
      <w:pPr/>
    </w:p>
    <w:sectPr>
      <w:footerReference r:id="rId4" w:type="default"/>
      <w:pgSz w:w="11906" w:h="16838"/>
      <w:pgMar w:top="1440" w:right="1587" w:bottom="1440"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黑体">
    <w:altName w:val="黑体"/>
    <w:panose1 w:val="02010609000101010101"/>
    <w:charset w:val="86"/>
    <w:family w:val="modern"/>
    <w:pitch w:val="default"/>
    <w:sig w:usb0="00000000" w:usb1="00000000" w:usb2="00000000" w:usb3="00000000" w:csb0="00040000" w:csb1="00000000"/>
  </w:font>
  <w:font w:name="文星楷体">
    <w:altName w:val="楷体_GB2312"/>
    <w:panose1 w:val="0201060900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moder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文星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35yTc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MwKS86IgOBJsngTw&#10;uuL/B9Q/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nJNw1AAAAAg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-133350</wp:posOffset>
              </wp:positionV>
              <wp:extent cx="603885"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388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2pt;width:47.55pt;mso-position-horizontal:outside;mso-position-horizontal-relative:margin;z-index:251660288;mso-width-relative:page;mso-height-relative:page;" filled="f" stroked="f" coordsize="21600,21600" o:gfxdata="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Wme1QAAAAYBAAAP&#10;AAAAAAAAAAEAIAAAACIAAABkcnMvZG93bnJldi54bWxQSwECFAAUAAAACACHTuJA4pvAVhsCAAAT&#10;BAAADgAAAAAAAAABACAAAAAkAQAAZHJzL2Uyb0RvYy54bWxQSwUGAAAAAAYABgBZAQAAsQUAAAAA&#10;">
              <v:fill on="f" focussize="0,0"/>
              <v:stroke on="f" weight="0.5pt"/>
              <v:imagedata o:title=""/>
              <o:lock v:ext="edit" aspectratio="f"/>
              <v:textbox inset="0mm,0mm,0mm,0mm">
                <w:txbxContent>
                  <w:p>
                    <w:pPr>
                      <w:pStyle w:val="5"/>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63021984">
    <w:nsid w:val="F822ACA0"/>
    <w:multiLevelType w:val="singleLevel"/>
    <w:tmpl w:val="F822ACA0"/>
    <w:lvl w:ilvl="0" w:tentative="1">
      <w:start w:val="4"/>
      <w:numFmt w:val="chineseCounting"/>
      <w:suff w:val="space"/>
      <w:lvlText w:val="第%1节"/>
      <w:lvlJc w:val="left"/>
      <w:rPr>
        <w:rFonts w:hint="eastAsia"/>
      </w:rPr>
    </w:lvl>
  </w:abstractNum>
  <w:abstractNum w:abstractNumId="3430722724">
    <w:nsid w:val="CC7CACA4"/>
    <w:multiLevelType w:val="singleLevel"/>
    <w:tmpl w:val="CC7CACA4"/>
    <w:lvl w:ilvl="0" w:tentative="1">
      <w:start w:val="1"/>
      <w:numFmt w:val="decimal"/>
      <w:lvlText w:val="%1."/>
      <w:lvlJc w:val="left"/>
      <w:pPr>
        <w:tabs>
          <w:tab w:val="left" w:pos="312"/>
        </w:tabs>
      </w:pPr>
    </w:lvl>
  </w:abstractNum>
  <w:abstractNum w:abstractNumId="1613222424">
    <w:nsid w:val="6027D218"/>
    <w:multiLevelType w:val="singleLevel"/>
    <w:tmpl w:val="6027D218"/>
    <w:lvl w:ilvl="0" w:tentative="1">
      <w:start w:val="1"/>
      <w:numFmt w:val="decimal"/>
      <w:lvlText w:val="%1."/>
      <w:lvlJc w:val="left"/>
      <w:pPr>
        <w:tabs>
          <w:tab w:val="left" w:pos="312"/>
        </w:tabs>
      </w:pPr>
    </w:lvl>
  </w:abstractNum>
  <w:num w:numId="1">
    <w:abstractNumId w:val="4163021984"/>
  </w:num>
  <w:num w:numId="2">
    <w:abstractNumId w:val="1613222424"/>
  </w:num>
  <w:num w:numId="3">
    <w:abstractNumId w:val="34307227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WQzNmY0NmRjZTg0NTAwMzFkMmE2ZTc3NWEzMTAifQ=="/>
  </w:docVars>
  <w:rsids>
    <w:rsidRoot w:val="11AB466A"/>
    <w:rsid w:val="0F3874B6"/>
    <w:rsid w:val="11AB466A"/>
    <w:rsid w:val="4FCC69BE"/>
    <w:rsid w:val="598A798D"/>
    <w:rsid w:val="68FA2F47"/>
    <w:rsid w:val="782842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before="150" w:beforeLines="150" w:beforeAutospacing="0" w:after="150" w:afterLines="150" w:afterAutospacing="0" w:line="360" w:lineRule="auto"/>
      <w:outlineLvl w:val="0"/>
    </w:pPr>
    <w:rPr>
      <w:rFonts w:ascii="Calibri" w:hAnsi="Calibri"/>
      <w:b/>
      <w:kern w:val="44"/>
      <w:sz w:val="44"/>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spacing w:line="360" w:lineRule="auto"/>
    </w:pPr>
    <w:rPr>
      <w:rFonts w:eastAsia="宋体"/>
      <w:sz w:val="24"/>
    </w:rPr>
  </w:style>
  <w:style w:type="paragraph" w:customStyle="1" w:styleId="3">
    <w:name w:val="Body Text Indent1"/>
    <w:basedOn w:val="1"/>
    <w:qFormat/>
    <w:uiPriority w:val="0"/>
    <w:pPr>
      <w:spacing w:line="150" w:lineRule="atLeast"/>
      <w:ind w:firstLine="420" w:firstLineChars="200"/>
      <w:textAlignment w:val="baseline"/>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0">
    <w:name w:val="正文首行缩进 21"/>
    <w:basedOn w:val="11"/>
    <w:qFormat/>
    <w:uiPriority w:val="0"/>
    <w:pPr>
      <w:ind w:firstLine="420" w:firstLineChars="200"/>
    </w:pPr>
  </w:style>
  <w:style w:type="paragraph" w:customStyle="1" w:styleId="11">
    <w:name w:val="正文文本缩进1"/>
    <w:basedOn w:val="12"/>
    <w:qFormat/>
    <w:uiPriority w:val="0"/>
    <w:pPr>
      <w:ind w:left="420" w:leftChars="200"/>
    </w:pPr>
  </w:style>
  <w:style w:type="paragraph" w:customStyle="1" w:styleId="12">
    <w:name w:val="正文 New"/>
    <w:next w:val="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BodyText1I2"/>
    <w:basedOn w:val="14"/>
    <w:qFormat/>
    <w:uiPriority w:val="0"/>
    <w:pPr>
      <w:ind w:firstLine="960"/>
    </w:pPr>
    <w:rPr>
      <w:rFonts w:ascii="Times New Roman" w:eastAsia="宋体"/>
    </w:rPr>
  </w:style>
  <w:style w:type="paragraph" w:customStyle="1" w:styleId="14">
    <w:name w:val="BodyTextIndent"/>
    <w:basedOn w:val="1"/>
    <w:next w:val="1"/>
    <w:qFormat/>
    <w:uiPriority w:val="0"/>
    <w:pPr>
      <w:ind w:firstLine="645"/>
    </w:pPr>
    <w:rPr>
      <w:rFonts w:ascii="黑体" w:eastAsia="黑体"/>
      <w:sz w:val="32"/>
      <w:szCs w:val="22"/>
    </w:rPr>
  </w:style>
  <w:style w:type="paragraph" w:customStyle="1" w:styleId="15">
    <w:name w:val="WPSOffice手动目录 1"/>
    <w:qFormat/>
    <w:uiPriority w:val="0"/>
    <w:rPr>
      <w:rFonts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17195</Words>
  <Characters>17416</Characters>
  <Lines>0</Lines>
  <Paragraphs>0</Paragraphs>
  <TotalTime>0</TotalTime>
  <ScaleCrop>false</ScaleCrop>
  <LinksUpToDate>false</LinksUpToDate>
  <CharactersWithSpaces>17538</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2022-09-01T02:16:00Z</dcterms:created>
  <dc:creator>何镜锋</dc:creator>
  <cp:lastModifiedBy>Administrator</cp:lastModifiedBy>
  <cp:lastPrinted>2022-09-01T02:17:00Z</cp:lastPrinted>
  <dcterms:modified xsi:type="dcterms:W3CDTF">2025-12-11T06:58:17Z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4850DE6638F3412A8FC8D4AE3DFCEDE4</vt:lpwstr>
  </property>
</Properties>
</file>